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hint="eastAsia" w:ascii="宋体" w:hAnsi="宋体"/>
          <w:b/>
          <w:bCs/>
          <w:sz w:val="52"/>
          <w:szCs w:val="52"/>
        </w:rPr>
      </w:pPr>
      <w:r>
        <w:rPr>
          <w:rFonts w:ascii="宋体" w:hAnsi="宋体"/>
          <w:b/>
          <w:bCs/>
          <w:sz w:val="52"/>
          <w:szCs w:val="52"/>
        </w:rPr>
        <w:t>2023</w:t>
      </w:r>
      <w:r>
        <w:rPr>
          <w:rFonts w:hint="eastAsia" w:ascii="宋体" w:hAnsi="宋体"/>
          <w:b/>
          <w:bCs/>
          <w:sz w:val="52"/>
          <w:szCs w:val="52"/>
        </w:rPr>
        <w:t>年度中共乌海市纪律检查委员会</w:t>
      </w:r>
    </w:p>
    <w:p>
      <w:pPr>
        <w:spacing w:line="360" w:lineRule="auto"/>
        <w:jc w:val="center"/>
        <w:rPr>
          <w:rFonts w:hint="default" w:ascii="宋体" w:hAnsi="宋体" w:eastAsia="宋体"/>
          <w:b/>
          <w:bCs/>
          <w:sz w:val="52"/>
          <w:szCs w:val="52"/>
          <w:lang w:val="en-US" w:eastAsia="zh-CN"/>
        </w:rPr>
      </w:pPr>
      <w:r>
        <w:rPr>
          <w:rFonts w:hint="eastAsia" w:ascii="宋体" w:hAnsi="宋体"/>
          <w:b/>
          <w:bCs/>
          <w:sz w:val="52"/>
          <w:szCs w:val="52"/>
          <w:lang w:val="en-US" w:eastAsia="zh-CN"/>
        </w:rPr>
        <w:t>决算公开</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部门（单位）名称：中共乌海市纪律检查委员会</w:t>
      </w:r>
    </w:p>
    <w:p>
      <w:pPr>
        <w:spacing w:line="360" w:lineRule="auto"/>
        <w:ind w:firstLine="2240" w:firstLineChars="700"/>
        <w:jc w:val="left"/>
        <w:rPr>
          <w:rFonts w:ascii="宋体" w:hAnsi="宋体"/>
          <w:sz w:val="32"/>
          <w:szCs w:val="32"/>
        </w:rPr>
      </w:pPr>
      <w:r>
        <w:rPr>
          <w:rFonts w:hint="eastAsia" w:ascii="宋体" w:hAnsi="宋体"/>
          <w:sz w:val="32"/>
          <w:szCs w:val="32"/>
        </w:rPr>
        <w:t>单位负责人：刘军甫</w:t>
      </w:r>
    </w:p>
    <w:p>
      <w:pPr>
        <w:spacing w:line="360" w:lineRule="auto"/>
        <w:ind w:firstLine="2240" w:firstLineChars="700"/>
        <w:jc w:val="left"/>
        <w:rPr>
          <w:rFonts w:ascii="宋体" w:hAnsi="宋体"/>
          <w:sz w:val="32"/>
          <w:szCs w:val="32"/>
        </w:rPr>
      </w:pPr>
      <w:r>
        <w:rPr>
          <w:rFonts w:hint="eastAsia" w:ascii="宋体" w:hAnsi="宋体"/>
          <w:sz w:val="32"/>
          <w:szCs w:val="32"/>
        </w:rPr>
        <w:t>财务负责人：王显</w:t>
      </w:r>
    </w:p>
    <w:p>
      <w:pPr>
        <w:spacing w:line="360" w:lineRule="auto"/>
        <w:ind w:firstLine="2240" w:firstLineChars="700"/>
        <w:jc w:val="left"/>
        <w:rPr>
          <w:rFonts w:ascii="宋体" w:hAnsi="宋体"/>
          <w:sz w:val="32"/>
          <w:szCs w:val="32"/>
        </w:rPr>
      </w:pPr>
      <w:r>
        <w:rPr>
          <w:rFonts w:hint="eastAsia" w:ascii="宋体" w:hAnsi="宋体"/>
          <w:sz w:val="32"/>
          <w:szCs w:val="32"/>
        </w:rPr>
        <w:t>编制人：吴启迪</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年10月</w:t>
      </w:r>
    </w:p>
    <w:p>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rPr>
        <w:t>第一部分 部门（单位）概况</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一、主要职能、职责</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二、部门（单位）机构设置及决算单位构成情况</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三、2023年度部门（单位）主要工作完成情况</w:t>
      </w:r>
    </w:p>
    <w:p>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rPr>
        <w:t>第二部分 部门（单位）决算情况说明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一、收入支出决算总体情况说明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四、财政拨款收入支出决算总体情况说明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八、财政拨款“三公”经费支出决算情况说明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九、政府性基金预算财政拨款支出决算情况说明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十、国有资本经营预算财政拨款支出决算情况说明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十二、政府采购支出决算情况说明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十三、国有资产占用情况说明</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十四、预算绩效情况说明</w:t>
      </w:r>
    </w:p>
    <w:p>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rPr>
        <w:t>第三部分 名词解释</w:t>
      </w:r>
    </w:p>
    <w:p>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rPr>
        <w:t>第四部分 决算公开联系方式及信息反馈渠道</w:t>
      </w:r>
    </w:p>
    <w:p>
      <w:pPr>
        <w:widowControl/>
        <w:spacing w:before="240" w:after="240"/>
        <w:jc w:val="left"/>
        <w:rPr>
          <w:rFonts w:hint="eastAsia" w:ascii="黑体" w:hAnsi="黑体" w:eastAsia="黑体" w:cs="黑体"/>
          <w:kern w:val="0"/>
          <w:sz w:val="32"/>
          <w:szCs w:val="32"/>
        </w:rPr>
      </w:pPr>
      <w:r>
        <w:rPr>
          <w:rFonts w:hint="eastAsia" w:ascii="黑体" w:hAnsi="黑体" w:eastAsia="黑体" w:cs="黑体"/>
          <w:kern w:val="0"/>
          <w:sz w:val="32"/>
          <w:szCs w:val="32"/>
        </w:rPr>
        <w:t>第五部分 部门（单位）决算表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一、收入支出决算总表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二、收入决算表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三、支出决算表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四、财政拨款收入支出决算总表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五、一般公共预算财政拨款支出决算表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六、一般公共预算财政拨款基本支出决算明细表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七、一般公共预算财政拨款项目支出决算明细表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八、政府性基金预算财政拨款收入支出决算表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九、国有资本经营预算财政拨款支出决算表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十、财政拨款“三公”经费支出决算表</w:t>
      </w:r>
    </w:p>
    <w:p>
      <w:pPr>
        <w:widowControl/>
        <w:spacing w:before="240" w:after="2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rPr>
          <w:rFonts w:ascii="Times New Roman" w:hAnsi="Times New Roman" w:eastAsia="Times New Roman" w:cs="Times New Roman"/>
          <w:kern w:val="0"/>
          <w:sz w:val="24"/>
        </w:rPr>
      </w:pPr>
    </w:p>
    <w:p>
      <w:pPr>
        <w:pStyle w:val="3"/>
        <w:rPr>
          <w:rFonts w:ascii="Times New Roman" w:hAnsi="Times New Roman" w:eastAsia="Times New Roman" w:cs="Times New Roman"/>
          <w:kern w:val="0"/>
          <w:sz w:val="24"/>
        </w:rPr>
      </w:pPr>
    </w:p>
    <w:p>
      <w:pPr>
        <w:pStyle w:val="4"/>
        <w:rPr>
          <w:rFonts w:ascii="Times New Roman" w:hAnsi="Times New Roman" w:eastAsia="Times New Roman" w:cs="Times New Roman"/>
          <w:kern w:val="0"/>
          <w:sz w:val="24"/>
        </w:rPr>
      </w:pPr>
    </w:p>
    <w:p>
      <w:pPr>
        <w:rPr>
          <w:rFonts w:ascii="Times New Roman" w:hAnsi="Times New Roman" w:eastAsia="Times New Roman" w:cs="Times New Roman"/>
          <w:kern w:val="0"/>
          <w:sz w:val="24"/>
        </w:rPr>
      </w:pPr>
    </w:p>
    <w:p>
      <w:pPr>
        <w:pStyle w:val="2"/>
      </w:pPr>
    </w:p>
    <w:p>
      <w:pPr>
        <w:pStyle w:val="2"/>
        <w:rPr>
          <w:rFonts w:ascii="Times New Roman" w:hAnsi="Times New Roman" w:eastAsia="Times New Roman" w:cs="Times New Roman"/>
          <w:kern w:val="0"/>
          <w:sz w:val="24"/>
        </w:rPr>
      </w:pPr>
    </w:p>
    <w:p>
      <w:pPr>
        <w:pStyle w:val="3"/>
      </w:pPr>
    </w:p>
    <w:p>
      <w:pPr>
        <w:widowControl/>
        <w:spacing w:before="240" w:after="240"/>
        <w:jc w:val="center"/>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第一部分 部门概况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黑体" w:hAnsi="黑体" w:eastAsia="黑体" w:cs="黑体"/>
          <w:b w:val="0"/>
          <w:bCs w:val="0"/>
          <w:kern w:val="0"/>
          <w:sz w:val="32"/>
          <w:szCs w:val="32"/>
          <w:lang w:val="en-US" w:eastAsia="zh-CN"/>
        </w:rPr>
        <w:t xml:space="preserve"> 一、乌海市纪委监委主要职能、职责</w:t>
      </w:r>
    </w:p>
    <w:p>
      <w:pPr>
        <w:snapToGrid w:val="0"/>
        <w:spacing w:line="560" w:lineRule="exact"/>
        <w:ind w:firstLine="640"/>
        <w:rPr>
          <w:rFonts w:hint="default" w:eastAsia="仿宋_GB2312"/>
          <w:sz w:val="32"/>
        </w:rPr>
      </w:pPr>
      <w:r>
        <w:rPr>
          <w:rFonts w:hint="eastAsia" w:eastAsia="仿宋_GB2312"/>
          <w:sz w:val="32"/>
          <w:lang w:eastAsia="zh-CN"/>
        </w:rPr>
        <w:t>（</w:t>
      </w:r>
      <w:r>
        <w:rPr>
          <w:rFonts w:hint="eastAsia" w:eastAsia="仿宋_GB2312"/>
          <w:sz w:val="32"/>
          <w:lang w:val="en-US" w:eastAsia="zh-CN"/>
        </w:rPr>
        <w:t>1</w:t>
      </w:r>
      <w:r>
        <w:rPr>
          <w:rFonts w:hint="eastAsia" w:eastAsia="仿宋_GB2312"/>
          <w:sz w:val="32"/>
          <w:lang w:eastAsia="zh-CN"/>
        </w:rPr>
        <w:t>）</w:t>
      </w:r>
      <w:r>
        <w:rPr>
          <w:rFonts w:hint="eastAsia" w:eastAsia="仿宋_GB2312"/>
          <w:sz w:val="32"/>
        </w:rPr>
        <w:t>负责党的纪律检查工作。贯彻落实市委关于纪律检查工作的决定，维护党的章程和其他党内法规，检查党的路线方针政策和决议的执行情况，协助市委推进全面从严治党、加强党风建设和组织协调反腐败工作。</w:t>
      </w:r>
    </w:p>
    <w:p>
      <w:pPr>
        <w:snapToGrid w:val="0"/>
        <w:spacing w:line="560" w:lineRule="exact"/>
        <w:ind w:firstLine="640"/>
        <w:rPr>
          <w:rFonts w:hint="default" w:eastAsia="仿宋_GB2312"/>
          <w:sz w:val="32"/>
        </w:rPr>
      </w:pPr>
      <w:r>
        <w:rPr>
          <w:rFonts w:hint="eastAsia" w:eastAsia="仿宋_GB2312"/>
          <w:sz w:val="32"/>
          <w:lang w:eastAsia="zh-CN"/>
        </w:rPr>
        <w:t>（</w:t>
      </w:r>
      <w:r>
        <w:rPr>
          <w:rFonts w:hint="eastAsia" w:eastAsia="仿宋_GB2312"/>
          <w:sz w:val="32"/>
          <w:lang w:val="en-US" w:eastAsia="zh-CN"/>
        </w:rPr>
        <w:t>2</w:t>
      </w:r>
      <w:r>
        <w:rPr>
          <w:rFonts w:hint="eastAsia" w:eastAsia="仿宋_GB2312"/>
          <w:sz w:val="32"/>
          <w:lang w:eastAsia="zh-CN"/>
        </w:rPr>
        <w:t>）</w:t>
      </w:r>
      <w:r>
        <w:rPr>
          <w:rFonts w:hint="eastAsia" w:eastAsia="仿宋_GB2312"/>
          <w:sz w:val="32"/>
        </w:rPr>
        <w:t>依照党的章程和其他党内法规履行监督、执纪、问责职责。负责经常对党员进行遵守纪律教育，作出关于维护党纪的决定；对市委工作部门、市委批准设立的党组（党委），各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控告和申诉；保障党员的权利。</w:t>
      </w:r>
    </w:p>
    <w:p>
      <w:pPr>
        <w:snapToGrid w:val="0"/>
        <w:spacing w:line="560" w:lineRule="exact"/>
        <w:ind w:firstLine="640"/>
        <w:rPr>
          <w:rFonts w:hint="default" w:eastAsia="仿宋_GB2312"/>
          <w:sz w:val="32"/>
          <w:lang w:val="en-US" w:eastAsia="zh-CN"/>
        </w:rPr>
      </w:pPr>
      <w:r>
        <w:rPr>
          <w:rFonts w:hint="eastAsia" w:eastAsia="仿宋_GB2312"/>
          <w:sz w:val="32"/>
          <w:lang w:eastAsia="zh-CN"/>
        </w:rPr>
        <w:t>（</w:t>
      </w:r>
      <w:r>
        <w:rPr>
          <w:rFonts w:hint="eastAsia" w:eastAsia="仿宋_GB2312"/>
          <w:sz w:val="32"/>
          <w:lang w:val="en-US" w:eastAsia="zh-CN"/>
        </w:rPr>
        <w:t>3</w:t>
      </w:r>
      <w:r>
        <w:rPr>
          <w:rFonts w:hint="eastAsia" w:eastAsia="仿宋_GB2312"/>
          <w:sz w:val="32"/>
          <w:lang w:eastAsia="zh-CN"/>
        </w:rPr>
        <w:t>）</w:t>
      </w:r>
      <w:r>
        <w:rPr>
          <w:rFonts w:hint="eastAsia" w:eastAsia="仿宋_GB2312"/>
          <w:sz w:val="32"/>
          <w:lang w:val="en-US" w:eastAsia="zh-CN"/>
        </w:rPr>
        <w:t>依照宪法、监察法履行监督调查处置职责</w:t>
      </w:r>
      <w:r>
        <w:rPr>
          <w:rFonts w:hint="eastAsia" w:eastAsia="仿宋_GB2312"/>
          <w:sz w:val="32"/>
        </w:rPr>
        <w:t>。贯彻落实</w:t>
      </w:r>
      <w:r>
        <w:rPr>
          <w:rFonts w:hint="eastAsia" w:eastAsia="仿宋_GB2312"/>
          <w:sz w:val="32"/>
          <w:lang w:val="en-US" w:eastAsia="zh-CN"/>
        </w:rPr>
        <w:t>中央、自治区党委关于国家监察工作的部署决定和市委相关工作安排，维护宪法法律，依法对行使公权力的公职人员进行监察，调查职务违法和职务犯罪，开展廉政建设和反腐败工作。</w:t>
      </w:r>
    </w:p>
    <w:p>
      <w:pPr>
        <w:snapToGrid w:val="0"/>
        <w:spacing w:line="560" w:lineRule="exact"/>
        <w:ind w:firstLine="640"/>
        <w:rPr>
          <w:rFonts w:hint="default" w:eastAsia="仿宋_GB2312"/>
          <w:sz w:val="32"/>
          <w:lang w:val="en-US" w:eastAsia="zh-CN"/>
        </w:rPr>
      </w:pPr>
      <w:r>
        <w:rPr>
          <w:rFonts w:hint="eastAsia" w:eastAsia="仿宋_GB2312"/>
          <w:sz w:val="32"/>
          <w:lang w:eastAsia="zh-CN"/>
        </w:rPr>
        <w:t>（</w:t>
      </w:r>
      <w:r>
        <w:rPr>
          <w:rFonts w:hint="eastAsia" w:eastAsia="仿宋_GB2312"/>
          <w:sz w:val="32"/>
          <w:lang w:val="en-US" w:eastAsia="zh-CN"/>
        </w:rPr>
        <w:t>4</w:t>
      </w:r>
      <w:r>
        <w:rPr>
          <w:rFonts w:hint="eastAsia" w:eastAsia="仿宋_GB2312"/>
          <w:sz w:val="32"/>
          <w:lang w:eastAsia="zh-CN"/>
        </w:rPr>
        <w:t>）</w:t>
      </w:r>
      <w:r>
        <w:rPr>
          <w:rFonts w:hint="eastAsia" w:eastAsia="仿宋_GB2312"/>
          <w:sz w:val="32"/>
          <w:lang w:val="en-US" w:eastAsia="zh-CN"/>
        </w:rPr>
        <w:t>负责组织协调全面从严治党、党风廉政建设和反腐败宣传教育工作。</w:t>
      </w:r>
    </w:p>
    <w:p>
      <w:pPr>
        <w:snapToGrid w:val="0"/>
        <w:spacing w:line="560" w:lineRule="exact"/>
        <w:ind w:firstLine="640"/>
        <w:rPr>
          <w:rFonts w:hint="default" w:eastAsia="仿宋_GB2312"/>
          <w:sz w:val="32"/>
          <w:lang w:val="en-US" w:eastAsia="zh-CN"/>
        </w:rPr>
      </w:pPr>
      <w:r>
        <w:rPr>
          <w:rFonts w:hint="eastAsia" w:eastAsia="仿宋_GB2312"/>
          <w:sz w:val="32"/>
          <w:lang w:eastAsia="zh-CN"/>
        </w:rPr>
        <w:t>（</w:t>
      </w:r>
      <w:r>
        <w:rPr>
          <w:rFonts w:hint="eastAsia" w:eastAsia="仿宋_GB2312"/>
          <w:sz w:val="32"/>
          <w:lang w:val="en-US" w:eastAsia="zh-CN"/>
        </w:rPr>
        <w:t>5</w:t>
      </w:r>
      <w:r>
        <w:rPr>
          <w:rFonts w:hint="eastAsia" w:eastAsia="仿宋_GB2312"/>
          <w:sz w:val="32"/>
          <w:lang w:eastAsia="zh-CN"/>
        </w:rPr>
        <w:t>）</w:t>
      </w:r>
      <w:r>
        <w:rPr>
          <w:rFonts w:hint="eastAsia" w:eastAsia="仿宋_GB2312"/>
          <w:sz w:val="32"/>
        </w:rPr>
        <w:t>负责综合分析全市全面从严治党、党风廉政建设和反腐败工作情况</w:t>
      </w:r>
      <w:r>
        <w:rPr>
          <w:rFonts w:hint="eastAsia" w:eastAsia="仿宋_GB2312"/>
          <w:sz w:val="32"/>
          <w:lang w:eastAsia="zh-CN"/>
        </w:rPr>
        <w:t>，</w:t>
      </w:r>
      <w:r>
        <w:rPr>
          <w:rFonts w:hint="eastAsia" w:eastAsia="仿宋_GB2312"/>
          <w:sz w:val="32"/>
          <w:lang w:val="en-US" w:eastAsia="zh-CN"/>
        </w:rPr>
        <w:t>对纪检监察工作重要理论及实践问题进行调查研究；制定或者修改纪检监察相关制度，参与起草制定相关规范性文件。</w:t>
      </w:r>
    </w:p>
    <w:p>
      <w:pPr>
        <w:snapToGrid w:val="0"/>
        <w:spacing w:line="560" w:lineRule="exact"/>
        <w:ind w:firstLine="640"/>
        <w:rPr>
          <w:rFonts w:hint="default" w:eastAsia="仿宋_GB2312"/>
          <w:sz w:val="32"/>
          <w:lang w:val="en-US" w:eastAsia="zh-CN"/>
        </w:rPr>
      </w:pPr>
      <w:r>
        <w:rPr>
          <w:rFonts w:hint="eastAsia" w:eastAsia="仿宋_GB2312"/>
          <w:sz w:val="32"/>
          <w:lang w:eastAsia="zh-CN"/>
        </w:rPr>
        <w:t>（</w:t>
      </w:r>
      <w:r>
        <w:rPr>
          <w:rFonts w:hint="eastAsia" w:eastAsia="仿宋_GB2312"/>
          <w:sz w:val="32"/>
          <w:lang w:val="en-US" w:eastAsia="zh-CN"/>
        </w:rPr>
        <w:t>6</w:t>
      </w:r>
      <w:r>
        <w:rPr>
          <w:rFonts w:hint="eastAsia" w:eastAsia="仿宋_GB2312"/>
          <w:sz w:val="32"/>
          <w:lang w:eastAsia="zh-CN"/>
        </w:rPr>
        <w:t>）</w:t>
      </w:r>
      <w:r>
        <w:rPr>
          <w:rFonts w:hint="eastAsia" w:eastAsia="仿宋_GB2312"/>
          <w:sz w:val="32"/>
          <w:lang w:val="en-US" w:eastAsia="zh-CN"/>
        </w:rPr>
        <w:t>配合自治区做好与其他地区、国际组织开展的反腐败国际交流、合作；按照上级纪检监察机关安排部署，做好反腐败国际追逃追赃和防逃工作，督促有关单位做好相关工作。</w:t>
      </w:r>
    </w:p>
    <w:p>
      <w:pPr>
        <w:snapToGrid w:val="0"/>
        <w:spacing w:line="560" w:lineRule="exact"/>
        <w:ind w:firstLine="640"/>
        <w:rPr>
          <w:rFonts w:hint="default" w:eastAsia="仿宋_GB2312"/>
          <w:sz w:val="32"/>
        </w:rPr>
      </w:pPr>
      <w:r>
        <w:rPr>
          <w:rFonts w:hint="eastAsia" w:eastAsia="仿宋_GB2312"/>
          <w:sz w:val="32"/>
          <w:lang w:eastAsia="zh-CN"/>
        </w:rPr>
        <w:t>（</w:t>
      </w:r>
      <w:r>
        <w:rPr>
          <w:rFonts w:hint="eastAsia" w:eastAsia="仿宋_GB2312"/>
          <w:sz w:val="32"/>
          <w:lang w:val="en-US" w:eastAsia="zh-CN"/>
        </w:rPr>
        <w:t>7</w:t>
      </w:r>
      <w:r>
        <w:rPr>
          <w:rFonts w:hint="eastAsia" w:eastAsia="仿宋_GB2312"/>
          <w:sz w:val="32"/>
          <w:lang w:eastAsia="zh-CN"/>
        </w:rPr>
        <w:t>）</w:t>
      </w:r>
      <w:r>
        <w:rPr>
          <w:rFonts w:hint="eastAsia" w:eastAsia="仿宋_GB2312"/>
          <w:sz w:val="32"/>
        </w:rPr>
        <w:t>根据干部管理权限，负责纪检监察系统领导班子建设、干部队伍建设和组织建设的综合规划、政策研究、制度建设和业务指导；会同有关方面做好市纪委监委派驻机构、</w:t>
      </w:r>
      <w:r>
        <w:rPr>
          <w:rFonts w:hint="eastAsia" w:eastAsia="仿宋_GB2312"/>
          <w:sz w:val="32"/>
          <w:lang w:val="en-US" w:eastAsia="zh-CN"/>
        </w:rPr>
        <w:t>各区纪检监察机关</w:t>
      </w:r>
      <w:r>
        <w:rPr>
          <w:rFonts w:hint="eastAsia" w:eastAsia="仿宋_GB2312"/>
          <w:sz w:val="32"/>
        </w:rPr>
        <w:t>、市管企事业单位纪检监察机构领导班子建设工作；组织和指导纪检监察系统干部教育培训工作等。</w:t>
      </w:r>
    </w:p>
    <w:p>
      <w:pPr>
        <w:snapToGrid w:val="0"/>
        <w:spacing w:line="560" w:lineRule="exact"/>
        <w:ind w:firstLine="640"/>
        <w:rPr>
          <w:rFonts w:hint="eastAsia" w:ascii="Times New Roman" w:hAnsi="Times New Roman" w:eastAsia="仿宋_GB2312" w:cs="Times New Roman"/>
          <w:kern w:val="0"/>
          <w:sz w:val="24"/>
          <w:lang w:eastAsia="zh-CN"/>
        </w:rPr>
      </w:pPr>
      <w:r>
        <w:rPr>
          <w:rFonts w:hint="eastAsia" w:eastAsia="仿宋_GB2312"/>
          <w:sz w:val="32"/>
          <w:lang w:eastAsia="zh-CN"/>
        </w:rPr>
        <w:t>（</w:t>
      </w:r>
      <w:r>
        <w:rPr>
          <w:rFonts w:hint="eastAsia" w:eastAsia="仿宋_GB2312"/>
          <w:sz w:val="32"/>
          <w:lang w:val="en-US" w:eastAsia="zh-CN"/>
        </w:rPr>
        <w:t>8</w:t>
      </w:r>
      <w:r>
        <w:rPr>
          <w:rFonts w:hint="eastAsia" w:eastAsia="仿宋_GB2312"/>
          <w:sz w:val="32"/>
          <w:lang w:eastAsia="zh-CN"/>
        </w:rPr>
        <w:t>）</w:t>
      </w:r>
      <w:r>
        <w:rPr>
          <w:rFonts w:hint="eastAsia" w:eastAsia="仿宋_GB2312"/>
          <w:sz w:val="32"/>
        </w:rPr>
        <w:t>完成市委</w:t>
      </w:r>
      <w:r>
        <w:rPr>
          <w:rFonts w:hint="eastAsia" w:eastAsia="仿宋_GB2312"/>
          <w:sz w:val="32"/>
          <w:lang w:eastAsia="zh-CN"/>
        </w:rPr>
        <w:t>、</w:t>
      </w:r>
      <w:r>
        <w:rPr>
          <w:rFonts w:hint="eastAsia" w:eastAsia="仿宋_GB2312"/>
          <w:sz w:val="32"/>
          <w:lang w:val="en-US" w:eastAsia="zh-CN"/>
        </w:rPr>
        <w:t>自治区纪委监委</w:t>
      </w:r>
      <w:r>
        <w:rPr>
          <w:rFonts w:hint="eastAsia" w:eastAsia="仿宋_GB2312"/>
          <w:sz w:val="32"/>
        </w:rPr>
        <w:t>交办的其他任务</w:t>
      </w:r>
      <w:r>
        <w:rPr>
          <w:rFonts w:hint="eastAsia" w:eastAsia="仿宋_GB2312"/>
          <w:sz w:val="32"/>
          <w:lang w:eastAsia="zh-CN"/>
        </w:rPr>
        <w:t>。</w:t>
      </w:r>
    </w:p>
    <w:p>
      <w:pPr>
        <w:widowControl/>
        <w:spacing w:before="240" w:after="24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    二、部门机构设置及决算单位构成情况</w:t>
      </w:r>
    </w:p>
    <w:p>
      <w:pPr>
        <w:snapToGrid w:val="0"/>
        <w:spacing w:line="560" w:lineRule="exact"/>
        <w:ind w:firstLine="640"/>
        <w:rPr>
          <w:rFonts w:hint="eastAsia" w:ascii="Times New Roman" w:hAnsi="Times New Roman" w:eastAsia="仿宋_GB2312" w:cs="Times New Roman"/>
          <w:sz w:val="32"/>
        </w:rPr>
      </w:pPr>
      <w:r>
        <w:rPr>
          <w:rFonts w:hint="eastAsia" w:ascii="Times New Roman" w:hAnsi="Times New Roman" w:eastAsia="仿宋_GB2312" w:cs="Times New Roman"/>
          <w:sz w:val="32"/>
        </w:rPr>
        <w:t>1.根据部门职责分工，本部门内设机构包括办公室、组织部、宣传部、政策法规研究室、</w:t>
      </w:r>
      <w:r>
        <w:rPr>
          <w:rFonts w:hint="eastAsia" w:eastAsia="仿宋_GB2312" w:cs="Times New Roman"/>
          <w:sz w:val="32"/>
          <w:lang w:val="en-US" w:eastAsia="zh-CN"/>
        </w:rPr>
        <w:t>党风政风监督室</w:t>
      </w:r>
      <w:r>
        <w:rPr>
          <w:rFonts w:hint="eastAsia" w:ascii="Times New Roman" w:hAnsi="Times New Roman" w:eastAsia="仿宋_GB2312" w:cs="Times New Roman"/>
          <w:sz w:val="32"/>
        </w:rPr>
        <w:t>、信访室、</w:t>
      </w:r>
      <w:r>
        <w:rPr>
          <w:rFonts w:hint="eastAsia" w:eastAsia="仿宋_GB2312" w:cs="Times New Roman"/>
          <w:sz w:val="32"/>
          <w:lang w:val="en-US" w:eastAsia="zh-CN"/>
        </w:rPr>
        <w:t>案件监督管理室</w:t>
      </w:r>
      <w:r>
        <w:rPr>
          <w:rFonts w:hint="eastAsia" w:ascii="Times New Roman" w:hAnsi="Times New Roman" w:eastAsia="仿宋_GB2312" w:cs="Times New Roman"/>
          <w:sz w:val="32"/>
        </w:rPr>
        <w:t>、第一</w:t>
      </w:r>
      <w:r>
        <w:rPr>
          <w:rFonts w:hint="eastAsia" w:eastAsia="仿宋_GB2312" w:cs="Times New Roman"/>
          <w:sz w:val="32"/>
          <w:lang w:val="en-US" w:eastAsia="zh-CN"/>
        </w:rPr>
        <w:t>至第四监督检查</w:t>
      </w:r>
      <w:r>
        <w:rPr>
          <w:rFonts w:hint="eastAsia" w:ascii="Times New Roman" w:hAnsi="Times New Roman" w:eastAsia="仿宋_GB2312" w:cs="Times New Roman"/>
          <w:sz w:val="32"/>
        </w:rPr>
        <w:t>室、第五</w:t>
      </w:r>
      <w:r>
        <w:rPr>
          <w:rFonts w:hint="eastAsia" w:eastAsia="仿宋_GB2312" w:cs="Times New Roman"/>
          <w:sz w:val="32"/>
          <w:lang w:val="en-US" w:eastAsia="zh-CN"/>
        </w:rPr>
        <w:t>至第七审查调查室</w:t>
      </w:r>
      <w:r>
        <w:rPr>
          <w:rFonts w:hint="eastAsia" w:eastAsia="仿宋_GB2312" w:cs="Times New Roman"/>
          <w:sz w:val="32"/>
          <w:lang w:eastAsia="zh-CN"/>
        </w:rPr>
        <w:t>、</w:t>
      </w:r>
      <w:r>
        <w:rPr>
          <w:rFonts w:hint="eastAsia" w:eastAsia="仿宋_GB2312" w:cs="Times New Roman"/>
          <w:sz w:val="32"/>
          <w:lang w:val="en-US" w:eastAsia="zh-CN"/>
        </w:rPr>
        <w:t>案件审理室、纪检监察干部监督室、机关党委</w:t>
      </w:r>
      <w:r>
        <w:rPr>
          <w:rFonts w:hint="eastAsia" w:ascii="Times New Roman" w:hAnsi="Times New Roman" w:eastAsia="仿宋_GB2312" w:cs="Times New Roman"/>
          <w:sz w:val="32"/>
        </w:rPr>
        <w:t>。</w:t>
      </w:r>
    </w:p>
    <w:p>
      <w:pPr>
        <w:snapToGrid w:val="0"/>
        <w:spacing w:line="560" w:lineRule="exact"/>
        <w:ind w:firstLine="640"/>
        <w:rPr>
          <w:rFonts w:hint="eastAsia" w:ascii="Times New Roman" w:hAnsi="Times New Roman" w:eastAsia="仿宋_GB2312" w:cs="Times New Roman"/>
          <w:sz w:val="32"/>
        </w:rPr>
      </w:pPr>
      <w:r>
        <w:rPr>
          <w:rFonts w:hint="eastAsia" w:ascii="Times New Roman" w:hAnsi="Times New Roman" w:eastAsia="仿宋_GB2312" w:cs="Times New Roman"/>
          <w:sz w:val="32"/>
        </w:rPr>
        <w:t>2.从决算单位构成看，纳入本财政汇总决算编制范围的预算单位共计</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家，具体包括：</w:t>
      </w:r>
      <w:r>
        <w:rPr>
          <w:rFonts w:hint="eastAsia" w:ascii="Times New Roman" w:hAnsi="Times New Roman" w:eastAsia="仿宋_GB2312" w:cs="Times New Roman"/>
          <w:sz w:val="32"/>
          <w:lang w:val="en-US" w:eastAsia="zh-CN"/>
        </w:rPr>
        <w:t>中共乌海市纪律检查委员会</w:t>
      </w:r>
      <w:r>
        <w:rPr>
          <w:rFonts w:hint="eastAsia" w:ascii="Times New Roman" w:hAnsi="Times New Roman" w:eastAsia="仿宋_GB2312" w:cs="Times New Roman"/>
          <w:sz w:val="32"/>
        </w:rPr>
        <w:t>部门本级。详细情况见表：</w:t>
      </w:r>
    </w:p>
    <w:tbl>
      <w:tblPr>
        <w:tblStyle w:val="21"/>
        <w:tblW w:w="9800" w:type="dxa"/>
        <w:jc w:val="center"/>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806"/>
        <w:gridCol w:w="4519"/>
        <w:gridCol w:w="447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PrEx>
        <w:trPr>
          <w:trHeight w:val="908" w:hRule="atLeast"/>
          <w:tblHeader/>
          <w:jc w:val="center"/>
        </w:trPr>
        <w:tc>
          <w:tcPr>
            <w:tcW w:w="806" w:type="dxa"/>
            <w:tcBorders>
              <w:bottom w:val="inset" w:color="808080" w:sz="6" w:space="0"/>
              <w:right w:val="inset" w:color="808080" w:sz="6" w:space="0"/>
            </w:tcBorders>
            <w:noWrap w:val="0"/>
            <w:tcMar>
              <w:top w:w="22" w:type="dxa"/>
              <w:left w:w="22" w:type="dxa"/>
              <w:bottom w:w="22" w:type="dxa"/>
              <w:right w:w="22" w:type="dxa"/>
            </w:tcMar>
            <w:vAlign w:val="center"/>
          </w:tcPr>
          <w:p>
            <w:pPr>
              <w:widowControl/>
              <w:spacing w:before="240" w:after="240"/>
              <w:jc w:val="center"/>
              <w:rPr>
                <w:rFonts w:hint="default" w:ascii="仿宋_GB2312" w:hAnsi="宋体" w:eastAsia="仿宋_GB2312"/>
                <w:sz w:val="32"/>
                <w:lang w:val="en-US" w:eastAsia="zh-CN"/>
              </w:rPr>
            </w:pPr>
            <w:r>
              <w:rPr>
                <w:rFonts w:hint="eastAsia" w:ascii="仿宋_GB2312" w:hAnsi="宋体" w:eastAsia="仿宋_GB2312"/>
                <w:sz w:val="32"/>
                <w:lang w:val="en-US" w:eastAsia="zh-CN"/>
              </w:rPr>
              <w:t>序号</w:t>
            </w:r>
          </w:p>
        </w:tc>
        <w:tc>
          <w:tcPr>
            <w:tcW w:w="4519" w:type="dxa"/>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spacing w:before="240" w:after="240"/>
              <w:jc w:val="center"/>
              <w:rPr>
                <w:rFonts w:hint="eastAsia" w:ascii="仿宋_GB2312" w:hAnsi="宋体" w:eastAsia="仿宋_GB2312"/>
                <w:sz w:val="32"/>
              </w:rPr>
            </w:pPr>
            <w:r>
              <w:rPr>
                <w:rFonts w:hint="eastAsia" w:ascii="仿宋_GB2312" w:hAnsi="宋体" w:eastAsia="仿宋_GB2312"/>
                <w:sz w:val="32"/>
              </w:rPr>
              <w:t>单位名称</w:t>
            </w:r>
          </w:p>
        </w:tc>
        <w:tc>
          <w:tcPr>
            <w:tcW w:w="4475" w:type="dxa"/>
            <w:tcBorders>
              <w:left w:val="inset" w:color="808080" w:sz="6" w:space="0"/>
              <w:bottom w:val="inset" w:color="808080" w:sz="6" w:space="0"/>
            </w:tcBorders>
            <w:noWrap w:val="0"/>
            <w:tcMar>
              <w:top w:w="22" w:type="dxa"/>
              <w:left w:w="22" w:type="dxa"/>
              <w:bottom w:w="22" w:type="dxa"/>
              <w:right w:w="22" w:type="dxa"/>
            </w:tcMar>
            <w:vAlign w:val="center"/>
          </w:tcPr>
          <w:p>
            <w:pPr>
              <w:widowControl/>
              <w:spacing w:before="240" w:after="240"/>
              <w:jc w:val="center"/>
              <w:rPr>
                <w:rFonts w:hint="eastAsia" w:ascii="仿宋_GB2312" w:hAnsi="宋体" w:eastAsia="仿宋_GB2312"/>
                <w:sz w:val="32"/>
              </w:rPr>
            </w:pPr>
            <w:r>
              <w:rPr>
                <w:rFonts w:hint="eastAsia" w:ascii="仿宋_GB2312" w:hAnsi="宋体" w:eastAsia="仿宋_GB2312"/>
                <w:sz w:val="32"/>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rPr>
          <w:trHeight w:val="1010" w:hRule="atLeast"/>
          <w:jc w:val="center"/>
        </w:trPr>
        <w:tc>
          <w:tcPr>
            <w:tcW w:w="806" w:type="dxa"/>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spacing w:before="240" w:after="240"/>
              <w:jc w:val="center"/>
              <w:rPr>
                <w:rFonts w:hint="default" w:ascii="仿宋_GB2312" w:hAnsi="宋体" w:eastAsia="仿宋_GB2312"/>
                <w:sz w:val="32"/>
                <w:lang w:val="en-US" w:eastAsia="zh-CN"/>
              </w:rPr>
            </w:pPr>
            <w:r>
              <w:rPr>
                <w:rFonts w:hint="eastAsia" w:ascii="仿宋_GB2312" w:hAnsi="宋体" w:eastAsia="仿宋_GB2312"/>
                <w:sz w:val="32"/>
                <w:lang w:val="en-US" w:eastAsia="zh-CN"/>
              </w:rPr>
              <w:t>1</w:t>
            </w:r>
          </w:p>
        </w:tc>
        <w:tc>
          <w:tcPr>
            <w:tcW w:w="4519" w:type="dxa"/>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pPr>
              <w:widowControl/>
              <w:spacing w:before="240" w:after="240"/>
              <w:jc w:val="center"/>
              <w:rPr>
                <w:rFonts w:hint="default" w:ascii="仿宋_GB2312" w:hAnsi="宋体" w:eastAsia="仿宋_GB2312"/>
                <w:sz w:val="32"/>
                <w:lang w:val="en-US" w:eastAsia="zh-CN"/>
              </w:rPr>
            </w:pPr>
            <w:r>
              <w:rPr>
                <w:rFonts w:hint="eastAsia" w:ascii="仿宋_GB2312" w:hAnsi="宋体" w:eastAsia="仿宋_GB2312"/>
                <w:sz w:val="32"/>
                <w:lang w:val="en-US" w:eastAsia="zh-CN"/>
              </w:rPr>
              <w:t>中共乌海市纪律检查委员会</w:t>
            </w:r>
          </w:p>
        </w:tc>
        <w:tc>
          <w:tcPr>
            <w:tcW w:w="4475" w:type="dxa"/>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pPr>
              <w:widowControl/>
              <w:spacing w:before="240" w:after="240"/>
              <w:jc w:val="center"/>
              <w:rPr>
                <w:rFonts w:hint="eastAsia" w:ascii="仿宋_GB2312" w:hAnsi="宋体" w:eastAsia="仿宋_GB2312"/>
                <w:sz w:val="32"/>
              </w:rPr>
            </w:pPr>
            <w:r>
              <w:rPr>
                <w:rFonts w:hint="eastAsia" w:ascii="仿宋_GB2312" w:hAnsi="宋体" w:eastAsia="仿宋_GB2312"/>
                <w:sz w:val="32"/>
              </w:rPr>
              <w:t>财政拨款的行政单位</w:t>
            </w:r>
          </w:p>
        </w:tc>
      </w:tr>
    </w:tbl>
    <w:p>
      <w:pPr>
        <w:widowControl/>
        <w:spacing w:before="240" w:after="240"/>
        <w:ind w:firstLine="640" w:firstLineChars="200"/>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三、2023年度部门（单位）主要工作完成情况</w:t>
      </w:r>
    </w:p>
    <w:p>
      <w:pPr>
        <w:ind w:firstLine="640" w:firstLineChars="200"/>
        <w:rPr>
          <w:rFonts w:hint="default" w:ascii="Times New Roman" w:hAnsi="Times New Roman" w:eastAsia="仿宋_GB2312" w:cs="Times New Roman"/>
          <w:sz w:val="32"/>
          <w:szCs w:val="24"/>
          <w:highlight w:val="none"/>
          <w:u w:val="none"/>
          <w:lang w:val="en-US" w:eastAsia="zh-CN"/>
        </w:rPr>
      </w:pPr>
      <w:r>
        <w:rPr>
          <w:rFonts w:hint="eastAsia" w:ascii="Times New Roman" w:hAnsi="Times New Roman" w:eastAsia="仿宋_GB2312" w:cs="Times New Roman"/>
          <w:sz w:val="32"/>
          <w:szCs w:val="24"/>
          <w:highlight w:val="none"/>
          <w:u w:val="none"/>
          <w:lang w:val="en-US" w:eastAsia="zh-CN"/>
        </w:rPr>
        <w:t>2023年，坚持以习近平新时代中国特色社会主义思想为指导，</w:t>
      </w:r>
      <w:r>
        <w:rPr>
          <w:rFonts w:hint="default" w:ascii="Times New Roman" w:hAnsi="Times New Roman" w:eastAsia="仿宋_GB2312" w:cs="Times New Roman"/>
          <w:sz w:val="32"/>
          <w:szCs w:val="24"/>
          <w:highlight w:val="none"/>
          <w:u w:val="none"/>
          <w:lang w:val="en-US" w:eastAsia="zh-CN"/>
        </w:rPr>
        <w:t>在自治区纪委监委和市委的坚强领导下，全面贯彻铸牢中华民族共同体意识为主线，扎实开展学习贯彻习近平新时代中国特色社会主义思想主题教育和纪检监察干部队伍教育整顿</w:t>
      </w:r>
      <w:r>
        <w:rPr>
          <w:rFonts w:hint="eastAsia" w:eastAsia="仿宋_GB2312" w:cs="Times New Roman"/>
          <w:sz w:val="32"/>
          <w:szCs w:val="24"/>
          <w:highlight w:val="none"/>
          <w:u w:val="none"/>
          <w:lang w:val="en-US" w:eastAsia="zh-CN"/>
        </w:rPr>
        <w:t>两件大事，</w:t>
      </w:r>
      <w:r>
        <w:rPr>
          <w:rFonts w:hint="default" w:ascii="Times New Roman" w:hAnsi="Times New Roman" w:eastAsia="仿宋_GB2312" w:cs="Times New Roman"/>
          <w:sz w:val="32"/>
          <w:szCs w:val="24"/>
          <w:highlight w:val="none"/>
          <w:u w:val="none"/>
          <w:lang w:val="en-US" w:eastAsia="zh-CN"/>
        </w:rPr>
        <w:t>深入推进党风廉政建设和反腐败斗争，严管严治锻造铁军，全市纪检监察工作高质量发展取得新进展新成效。</w:t>
      </w:r>
      <w:r>
        <w:rPr>
          <w:rFonts w:hint="eastAsia" w:ascii="Times New Roman" w:hAnsi="Times New Roman" w:eastAsia="仿宋_GB2312" w:cs="Times New Roman"/>
          <w:sz w:val="32"/>
          <w:szCs w:val="24"/>
          <w:highlight w:val="none"/>
          <w:u w:val="none"/>
          <w:lang w:val="en-US" w:eastAsia="zh-CN"/>
        </w:rPr>
        <w:t>一是</w:t>
      </w:r>
      <w:r>
        <w:rPr>
          <w:rFonts w:hint="default" w:ascii="Times New Roman" w:hAnsi="Times New Roman" w:eastAsia="仿宋_GB2312" w:cs="Times New Roman"/>
          <w:sz w:val="32"/>
          <w:szCs w:val="24"/>
          <w:highlight w:val="none"/>
          <w:u w:val="none"/>
          <w:lang w:val="en-US" w:eastAsia="zh-CN"/>
        </w:rPr>
        <w:t>扎实开展主题教育，深学细悟笃行习近平新时代中国特色社会主义思想。</w:t>
      </w:r>
      <w:r>
        <w:rPr>
          <w:rFonts w:hint="eastAsia" w:ascii="Times New Roman" w:hAnsi="Times New Roman" w:eastAsia="仿宋_GB2312" w:cs="Times New Roman"/>
          <w:sz w:val="32"/>
          <w:szCs w:val="24"/>
          <w:highlight w:val="none"/>
          <w:u w:val="none"/>
          <w:lang w:val="en-US" w:eastAsia="zh-CN"/>
        </w:rPr>
        <w:t>二是始终围绕中心服务大局</w:t>
      </w:r>
      <w:r>
        <w:rPr>
          <w:rFonts w:hint="default" w:ascii="Times New Roman" w:hAnsi="Times New Roman" w:eastAsia="仿宋_GB2312" w:cs="Times New Roman"/>
          <w:sz w:val="32"/>
          <w:szCs w:val="24"/>
          <w:highlight w:val="none"/>
          <w:u w:val="none"/>
          <w:lang w:val="en-US" w:eastAsia="zh-CN"/>
        </w:rPr>
        <w:t>，做深做实政治监督具体化、精准化、常态化。</w:t>
      </w:r>
      <w:r>
        <w:rPr>
          <w:rFonts w:hint="eastAsia" w:ascii="Times New Roman" w:hAnsi="Times New Roman" w:eastAsia="仿宋_GB2312" w:cs="Times New Roman"/>
          <w:sz w:val="32"/>
          <w:szCs w:val="24"/>
          <w:highlight w:val="none"/>
          <w:u w:val="none"/>
          <w:lang w:val="en-US" w:eastAsia="zh-CN"/>
        </w:rPr>
        <w:t>三是</w:t>
      </w:r>
      <w:r>
        <w:rPr>
          <w:rFonts w:hint="default" w:ascii="Times New Roman" w:hAnsi="Times New Roman" w:eastAsia="仿宋_GB2312" w:cs="Times New Roman"/>
          <w:sz w:val="32"/>
          <w:szCs w:val="24"/>
          <w:highlight w:val="none"/>
          <w:u w:val="none"/>
          <w:lang w:val="en-US" w:eastAsia="zh-CN"/>
        </w:rPr>
        <w:t>坚持防反弹回潮、防隐形变异、防疲劳厌战，一刻不松纠治“四风”。</w:t>
      </w:r>
      <w:r>
        <w:rPr>
          <w:rFonts w:hint="eastAsia" w:ascii="Times New Roman" w:hAnsi="Times New Roman" w:eastAsia="仿宋_GB2312" w:cs="Times New Roman"/>
          <w:sz w:val="32"/>
          <w:szCs w:val="24"/>
          <w:highlight w:val="none"/>
          <w:u w:val="none"/>
          <w:lang w:val="en-US" w:eastAsia="zh-CN"/>
        </w:rPr>
        <w:t>四是</w:t>
      </w:r>
      <w:r>
        <w:rPr>
          <w:rFonts w:hint="default" w:ascii="Times New Roman" w:hAnsi="Times New Roman" w:eastAsia="仿宋_GB2312" w:cs="Times New Roman"/>
          <w:sz w:val="32"/>
          <w:szCs w:val="24"/>
          <w:highlight w:val="none"/>
          <w:u w:val="none"/>
          <w:lang w:val="en-US" w:eastAsia="zh-CN"/>
        </w:rPr>
        <w:t>一以贯之严的基调、严的措施、严的氛围，坚定不移惩贪治腐</w:t>
      </w:r>
      <w:r>
        <w:rPr>
          <w:rFonts w:hint="eastAsia" w:ascii="Times New Roman" w:hAnsi="Times New Roman" w:eastAsia="仿宋_GB2312" w:cs="Times New Roman"/>
          <w:sz w:val="32"/>
          <w:szCs w:val="24"/>
          <w:highlight w:val="none"/>
          <w:u w:val="none"/>
          <w:lang w:val="en-US" w:eastAsia="zh-CN"/>
        </w:rPr>
        <w:t>。五是坚守</w:t>
      </w:r>
      <w:r>
        <w:rPr>
          <w:rFonts w:hint="default" w:ascii="Times New Roman" w:hAnsi="Times New Roman" w:eastAsia="仿宋_GB2312" w:cs="Times New Roman"/>
          <w:sz w:val="32"/>
          <w:szCs w:val="24"/>
          <w:highlight w:val="none"/>
          <w:u w:val="none"/>
          <w:lang w:val="en-US" w:eastAsia="zh-CN"/>
        </w:rPr>
        <w:t>人民至上理念，积极回应群众关切。</w:t>
      </w:r>
      <w:r>
        <w:rPr>
          <w:rFonts w:hint="eastAsia" w:ascii="Times New Roman" w:hAnsi="Times New Roman" w:eastAsia="仿宋_GB2312" w:cs="Times New Roman"/>
          <w:sz w:val="32"/>
          <w:szCs w:val="24"/>
          <w:highlight w:val="none"/>
          <w:u w:val="none"/>
          <w:lang w:val="en-US" w:eastAsia="zh-CN"/>
        </w:rPr>
        <w:t>六是</w:t>
      </w:r>
      <w:r>
        <w:rPr>
          <w:rFonts w:hint="default" w:ascii="Times New Roman" w:hAnsi="Times New Roman" w:eastAsia="仿宋_GB2312" w:cs="Times New Roman"/>
          <w:sz w:val="32"/>
          <w:szCs w:val="24"/>
          <w:highlight w:val="none"/>
          <w:u w:val="none"/>
          <w:lang w:val="en-US" w:eastAsia="zh-CN"/>
        </w:rPr>
        <w:t>始终做到震慑常在，充分发挥政治巡察利剑作用。</w:t>
      </w:r>
      <w:r>
        <w:rPr>
          <w:rFonts w:hint="eastAsia" w:ascii="Times New Roman" w:hAnsi="Times New Roman" w:eastAsia="仿宋_GB2312" w:cs="Times New Roman"/>
          <w:sz w:val="32"/>
          <w:szCs w:val="24"/>
          <w:highlight w:val="none"/>
          <w:u w:val="none"/>
          <w:lang w:val="en-US" w:eastAsia="zh-CN"/>
        </w:rPr>
        <w:t>七是刀刃向内开展教育整顿，锻造成色更足、纯度更高的纪检监察铁军。</w:t>
      </w:r>
    </w:p>
    <w:p>
      <w:pPr>
        <w:pStyle w:val="6"/>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Calibri" w:hAnsi="Calibri" w:eastAsia="宋体" w:cs="Calibri"/>
          <w:b/>
          <w:bCs/>
          <w:kern w:val="0"/>
          <w:sz w:val="32"/>
          <w:szCs w:val="32"/>
          <w:lang w:val="en-US" w:eastAsia="zh-CN"/>
        </w:rPr>
        <w:t>一、收入支出决算总体情况说明</w:t>
      </w:r>
    </w:p>
    <w:p>
      <w:pPr>
        <w:widowControl/>
        <w:spacing w:before="240" w:after="240"/>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 xml:space="preserve"> 中共乌海市纪律检查委员会 2023年度收入、支出决算总计 10,581.11万元。其中：</w:t>
      </w:r>
    </w:p>
    <w:p>
      <w:pPr>
        <w:widowControl/>
        <w:spacing w:before="240" w:after="240"/>
        <w:jc w:val="left"/>
        <w:rPr>
          <w:rFonts w:hint="eastAsia" w:ascii="Calibri" w:hAnsi="Calibri" w:eastAsia="宋体" w:cs="Calibri"/>
          <w:b/>
          <w:bCs/>
          <w:kern w:val="0"/>
          <w:sz w:val="32"/>
          <w:szCs w:val="32"/>
          <w:lang w:val="en-US" w:eastAsia="zh-CN"/>
        </w:rPr>
      </w:pPr>
      <w:r>
        <w:rPr>
          <w:rFonts w:hint="eastAsia" w:ascii="Calibri" w:hAnsi="Calibri" w:eastAsia="宋体" w:cs="Calibri"/>
          <w:b/>
          <w:bCs/>
          <w:kern w:val="0"/>
          <w:sz w:val="32"/>
          <w:szCs w:val="32"/>
          <w:lang w:val="en-US" w:eastAsia="zh-CN"/>
        </w:rPr>
        <w:t>    （一）收入决算总计 10,581.11万元。包括：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1.本年收入决算合计 10,310.00万元。与上年决算相比，增加 2,282.22万元，增长 28.43%，变动原因：2023年12月支出留置中心一期建设项目尾款、消化以前年度暂付款。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2.使用非财政拨款结余和专用结余 0.00万元。与上年决算相比，增加 0.00万元，增长0%，变动原因：不存在此项内容。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3.年初结转和结余 271.10万元。与上年决算相比，增加 202.89万元，增长 297.42%，变动原因：我单位去年专案赴外出差较多，导致差旅费明显增加。</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964" w:firstLineChars="3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Calibri" w:hAnsi="Calibri" w:eastAsia="宋体" w:cs="Calibri"/>
          <w:b/>
          <w:bCs/>
          <w:kern w:val="0"/>
          <w:sz w:val="32"/>
          <w:szCs w:val="32"/>
          <w:lang w:val="en-US" w:eastAsia="zh-CN"/>
        </w:rPr>
        <w:t>（二）支出决算总计 10,581.11万元。</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包括：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1.本年支出决算合计 10,462.38万元。与上年决算相比，增加 2,637.48万元，增长 33.71%，变动原因：2023年12月支出留置中心一期建设项目尾款、消化以前年度暂付款。</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2.结余分配 0.00万元。结余分配事项：无。与上年决算相比，增加0.00万元，增长0%，变动原因：不存在此项内容。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ascii="Times New Roman" w:hAnsi="Times New Roman" w:eastAsia="Times New Roman" w:cs="Times New Roman"/>
          <w:kern w:val="0"/>
          <w:sz w:val="24"/>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3.年末结转和结余 118.72万元。结转和结余事项：专案组差旅费借款，2024年逐步消化。与上年决算相比，减少152.38万元，减少56.21%，变动原因：上年度专案组差旅费借款等结转</w:t>
      </w:r>
      <w:r>
        <w:rPr>
          <w:rFonts w:hint="eastAsia" w:ascii="仿宋_GB2312" w:hAnsi="仿宋_GB2312" w:eastAsia="仿宋_GB2312"/>
          <w:kern w:val="2"/>
          <w:sz w:val="32"/>
          <w:lang w:eastAsia="zh-CN"/>
        </w:rPr>
        <w:t>。</w:t>
      </w:r>
    </w:p>
    <w:p>
      <w:pPr>
        <w:widowControl/>
        <w:spacing w:before="240" w:after="240"/>
        <w:ind w:firstLine="643" w:firstLineChars="200"/>
        <w:jc w:val="left"/>
        <w:rPr>
          <w:rFonts w:hint="default" w:ascii="Calibri" w:hAnsi="Calibri" w:eastAsia="宋体" w:cs="Calibri"/>
          <w:b/>
          <w:bCs/>
          <w:kern w:val="0"/>
          <w:sz w:val="32"/>
          <w:szCs w:val="32"/>
          <w:lang w:val="en-US" w:eastAsia="zh-CN"/>
        </w:rPr>
      </w:pPr>
      <w:r>
        <w:rPr>
          <w:rFonts w:hint="eastAsia" w:ascii="Calibri" w:hAnsi="Calibri" w:eastAsia="宋体" w:cs="Calibri"/>
          <w:b/>
          <w:bCs/>
          <w:kern w:val="0"/>
          <w:sz w:val="32"/>
          <w:szCs w:val="32"/>
          <w:lang w:val="en-US" w:eastAsia="zh-CN"/>
        </w:rPr>
        <w:t>二、收入决算情况说明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中共乌海市纪律检查委员会 2023年度本年收入决算合计 10,310.00万元，其中：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本年一般公共预算财政拨款收入 10,310.00万元，占 100.00%；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本年政府性基金预算财政拨款收入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本年国有资本经营预算财政拨款收入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本年上级补助收入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本年事业收入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本年经营收入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本年附属单位上缴收入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本年其他收入 0.00万元，占 0.00%。</w:t>
      </w:r>
    </w:p>
    <w:p>
      <w:pPr>
        <w:pStyle w:val="4"/>
        <w:spacing w:beforeLines="0" w:afterLines="0"/>
        <w:jc w:val="center"/>
        <w:rPr>
          <w:rFonts w:hint="eastAsia"/>
          <w:sz w:val="32"/>
        </w:rPr>
      </w:pPr>
      <w:r>
        <w:rPr>
          <w:rFonts w:hint="default" w:eastAsia="Times New Roman"/>
          <w:sz w:val="32"/>
        </w:rPr>
        <w:drawing>
          <wp:inline distT="0" distB="0" distL="114300" distR="114300">
            <wp:extent cx="2591435" cy="2340610"/>
            <wp:effectExtent l="0" t="0" r="18415"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rcRect l="36238" t="1471" r="36017" b="57265"/>
                    <a:stretch>
                      <a:fillRect/>
                    </a:stretch>
                  </pic:blipFill>
                  <pic:spPr>
                    <a:xfrm>
                      <a:off x="0" y="0"/>
                      <a:ext cx="2591435" cy="2340610"/>
                    </a:xfrm>
                    <a:prstGeom prst="rect">
                      <a:avLst/>
                    </a:prstGeom>
                    <a:noFill/>
                    <a:ln>
                      <a:noFill/>
                    </a:ln>
                  </pic:spPr>
                </pic:pic>
              </a:graphicData>
            </a:graphic>
          </wp:inline>
        </w:drawing>
      </w:r>
    </w:p>
    <w:p>
      <w:pPr>
        <w:pStyle w:val="4"/>
        <w:spacing w:beforeLines="0" w:afterLines="0"/>
        <w:jc w:val="center"/>
        <w:rPr>
          <w:rFonts w:ascii="Times New Roman" w:hAnsi="Times New Roman" w:eastAsia="Times New Roman" w:cs="Times New Roman"/>
          <w:kern w:val="0"/>
          <w:sz w:val="24"/>
        </w:rPr>
      </w:pPr>
      <w:r>
        <w:rPr>
          <w:rFonts w:hint="default" w:eastAsia="Times New Roman"/>
          <w:sz w:val="32"/>
        </w:rPr>
        <w:drawing>
          <wp:inline distT="0" distB="0" distL="114300" distR="114300">
            <wp:extent cx="3997960" cy="1259205"/>
            <wp:effectExtent l="0" t="0" r="2540" b="1714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a:srcRect l="1563" t="40842" r="1147" b="2551"/>
                    <a:stretch>
                      <a:fillRect/>
                    </a:stretch>
                  </pic:blipFill>
                  <pic:spPr>
                    <a:xfrm>
                      <a:off x="0" y="0"/>
                      <a:ext cx="3997960" cy="1259205"/>
                    </a:xfrm>
                    <a:prstGeom prst="rect">
                      <a:avLst/>
                    </a:prstGeom>
                    <a:noFill/>
                    <a:ln>
                      <a:noFill/>
                    </a:ln>
                  </pic:spPr>
                </pic:pic>
              </a:graphicData>
            </a:graphic>
          </wp:inline>
        </w:drawing>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center"/>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图1.收入决算图</w:t>
      </w:r>
    </w:p>
    <w:p>
      <w:pPr>
        <w:widowControl/>
        <w:spacing w:before="240" w:after="240"/>
        <w:jc w:val="left"/>
        <w:rPr>
          <w:rFonts w:ascii="Times New Roman" w:hAnsi="Times New Roman" w:eastAsia="Times New Roman" w:cs="Times New Roman"/>
          <w:kern w:val="0"/>
          <w:sz w:val="32"/>
          <w:szCs w:val="32"/>
        </w:rPr>
      </w:pPr>
      <w:r>
        <w:rPr>
          <w:rFonts w:ascii="Calibri" w:hAnsi="Calibri" w:eastAsia="Calibri" w:cs="Calibri"/>
          <w:b/>
          <w:bCs/>
          <w:kern w:val="0"/>
          <w:sz w:val="32"/>
          <w:szCs w:val="32"/>
        </w:rPr>
        <w:t> </w:t>
      </w:r>
      <w:r>
        <w:rPr>
          <w:rFonts w:ascii="黑体" w:hAnsi="黑体" w:eastAsia="黑体" w:cs="黑体"/>
          <w:b/>
          <w:bCs/>
          <w:kern w:val="0"/>
          <w:sz w:val="32"/>
          <w:szCs w:val="32"/>
        </w:rPr>
        <w:t xml:space="preserve"> </w:t>
      </w:r>
      <w:r>
        <w:rPr>
          <w:rFonts w:hint="eastAsia" w:ascii="方正小标宋简体" w:hAnsi="方正小标宋简体" w:eastAsia="方正小标宋简体" w:cs="方正小标宋简体"/>
          <w:b w:val="0"/>
          <w:bCs w:val="0"/>
          <w:kern w:val="0"/>
          <w:sz w:val="32"/>
          <w:szCs w:val="32"/>
        </w:rPr>
        <w:t>  三、支出决算情况说明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中共乌海市纪律检查委员会 2023年度本年支出决算合计 10,462.38万元，其中：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本年基本支出 3,445.99万元，占 32.94%；</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本年项目支出 7,016.40万元，占 67.06%；</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本年上缴上级支出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本年经营支出 0.00万元，占 0.00%；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ascii="Times New Roman" w:hAnsi="Times New Roman" w:eastAsia="Times New Roman" w:cs="Times New Roman"/>
          <w:kern w:val="0"/>
          <w:sz w:val="24"/>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本年对附属单位补助支出 0.00万元，占 0.00%。</w:t>
      </w:r>
    </w:p>
    <w:p>
      <w:pPr>
        <w:widowControl/>
        <w:spacing w:before="240" w:after="24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drawing>
          <wp:inline distT="0" distB="0" distL="114300" distR="114300">
            <wp:extent cx="3804920" cy="3495040"/>
            <wp:effectExtent l="4445" t="4445" r="19685" b="57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cente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图2.支出决算图</w:t>
      </w:r>
    </w:p>
    <w:p>
      <w:pPr>
        <w:widowControl/>
        <w:spacing w:before="240" w:after="240"/>
        <w:jc w:val="left"/>
        <w:rPr>
          <w:rFonts w:hint="eastAsia" w:ascii="Calibri" w:hAnsi="Calibri" w:eastAsia="Calibri" w:cs="Calibri"/>
          <w:b/>
          <w:bCs/>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方正小标宋简体" w:hAnsi="方正小标宋简体" w:eastAsia="方正小标宋简体" w:cs="方正小标宋简体"/>
          <w:b w:val="0"/>
          <w:bCs w:val="0"/>
          <w:kern w:val="0"/>
          <w:sz w:val="32"/>
          <w:szCs w:val="32"/>
        </w:rPr>
        <w:t xml:space="preserve"> 四、财政拨款收入支出决算总体情况说明</w:t>
      </w:r>
    </w:p>
    <w:p>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pPr>
      <w:r>
        <w:rPr>
          <w:rFonts w:ascii="fang_song_gb2312" w:hAnsi="fang_song_gb2312" w:eastAsia="fang_song_gb2312" w:cs="fang_song_gb2312"/>
          <w:kern w:val="0"/>
          <w:sz w:val="27"/>
          <w:szCs w:val="27"/>
        </w:rPr>
        <w:t>   </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 xml:space="preserve"> 中共乌海市纪律检查委员会 2023年度财政拨款收入、支出决算总计 10,581.11万元，与年初预算相比，收、支总计各增加 4,462.76万元，增长 72.94%，变动原因：本年度支出留置中心一期建设项目尾款、消化以前年度暂付款；与上年决算相比，收、支总计各增加 2,485.11万元，增长30.70%，变动原因：支出留置中心一期建设项目尾款、消化以前年度暂付款。</w:t>
      </w:r>
    </w:p>
    <w:p>
      <w:pPr>
        <w:keepNext w:val="0"/>
        <w:keepLines w:val="0"/>
        <w:pageBreakBefore w:val="0"/>
        <w:widowControl/>
        <w:numPr>
          <w:ilvl w:val="0"/>
          <w:numId w:val="1"/>
        </w:numPr>
        <w:kinsoku/>
        <w:wordWrap/>
        <w:overflowPunct/>
        <w:topLinePunct w:val="0"/>
        <w:autoSpaceDE/>
        <w:autoSpaceDN/>
        <w:bidi w:val="0"/>
        <w:adjustRightInd/>
        <w:snapToGrid/>
        <w:spacing w:before="240" w:after="240" w:line="560" w:lineRule="exact"/>
        <w:ind w:left="445" w:leftChars="0" w:firstLine="0" w:firstLineChars="0"/>
        <w:jc w:val="left"/>
        <w:textAlignment w:val="auto"/>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一般公共预算财政拨款支出决算情况说明</w:t>
      </w:r>
    </w:p>
    <w:p>
      <w:pPr>
        <w:keepNext w:val="0"/>
        <w:keepLines w:val="0"/>
        <w:pageBreakBefore w:val="0"/>
        <w:widowControl/>
        <w:numPr>
          <w:ilvl w:val="0"/>
          <w:numId w:val="0"/>
        </w:numPr>
        <w:kinsoku/>
        <w:wordWrap/>
        <w:overflowPunct/>
        <w:topLinePunct w:val="0"/>
        <w:autoSpaceDE/>
        <w:autoSpaceDN/>
        <w:bidi w:val="0"/>
        <w:adjustRightInd/>
        <w:snapToGrid/>
        <w:spacing w:before="240" w:after="240" w:line="560" w:lineRule="exact"/>
        <w:ind w:firstLine="640" w:firstLineChars="200"/>
        <w:jc w:val="left"/>
        <w:textAlignment w:val="auto"/>
        <w:rPr>
          <w:rFonts w:hint="eastAsia" w:ascii="仿宋_GB2312" w:hAnsi="宋体" w:eastAsia="仿宋_GB2312"/>
          <w:sz w:val="32"/>
        </w:rPr>
      </w:pPr>
      <w:r>
        <w:rPr>
          <w:rFonts w:hint="eastAsia" w:ascii="仿宋_GB2312" w:hAnsi="宋体" w:eastAsia="仿宋_GB2312"/>
          <w:sz w:val="32"/>
        </w:rPr>
        <w:t>中共乌海市纪律检查委员会 2023年度一般公共预算财政拨款支出决算 10,462.38万元。与年初预算 6,118.35万元相比，完成年初预算的 171.00%。其中：</w:t>
      </w:r>
    </w:p>
    <w:p>
      <w:pPr>
        <w:keepNext w:val="0"/>
        <w:keepLines w:val="0"/>
        <w:pageBreakBefore w:val="0"/>
        <w:widowControl/>
        <w:kinsoku/>
        <w:wordWrap/>
        <w:overflowPunct/>
        <w:topLinePunct w:val="0"/>
        <w:autoSpaceDE/>
        <w:autoSpaceDN/>
        <w:bidi w:val="0"/>
        <w:adjustRightInd/>
        <w:snapToGrid/>
        <w:spacing w:before="240" w:after="24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仿宋_GB2312" w:hAnsi="仿宋_GB2312" w:eastAsia="仿宋_GB2312" w:cs="仿宋_GB2312"/>
          <w:b/>
          <w:bCs/>
          <w:kern w:val="0"/>
          <w:sz w:val="32"/>
          <w:szCs w:val="32"/>
        </w:rPr>
        <w:t xml:space="preserve"> （一）一般公共服务（类）</w:t>
      </w:r>
    </w:p>
    <w:p>
      <w:pPr>
        <w:keepNext w:val="0"/>
        <w:keepLines w:val="0"/>
        <w:pageBreakBefore w:val="0"/>
        <w:widowControl/>
        <w:kinsoku/>
        <w:wordWrap/>
        <w:overflowPunct/>
        <w:topLinePunct w:val="0"/>
        <w:autoSpaceDE/>
        <w:autoSpaceDN/>
        <w:bidi w:val="0"/>
        <w:adjustRightInd/>
        <w:snapToGrid/>
        <w:spacing w:before="240" w:after="240" w:line="560" w:lineRule="exact"/>
        <w:textAlignment w:val="auto"/>
        <w:rPr>
          <w:rFonts w:hint="eastAsia" w:ascii="仿宋_GB2312" w:hAnsi="宋体" w:eastAsia="仿宋_GB2312"/>
          <w:sz w:val="32"/>
        </w:rPr>
      </w:pPr>
      <w:r>
        <w:rPr>
          <w:rFonts w:ascii="fang_song_gb2312" w:hAnsi="fang_song_gb2312" w:eastAsia="fang_song_gb2312" w:cs="fang_song_gb2312"/>
          <w:kern w:val="0"/>
          <w:sz w:val="27"/>
          <w:szCs w:val="27"/>
        </w:rPr>
        <w:t xml:space="preserve">    </w:t>
      </w:r>
      <w:r>
        <w:rPr>
          <w:rFonts w:hint="eastAsia" w:ascii="仿宋_GB2312" w:hAnsi="宋体" w:eastAsia="仿宋_GB2312"/>
          <w:sz w:val="32"/>
        </w:rPr>
        <w:t>一般公共服务类决算数为 9,299.12万元，与年初预算相比增加</w:t>
      </w:r>
      <w:r>
        <w:rPr>
          <w:rFonts w:hint="eastAsia" w:ascii="仿宋_GB2312" w:hAnsi="宋体" w:eastAsia="仿宋_GB2312"/>
          <w:sz w:val="32"/>
          <w:lang w:val="en-US" w:eastAsia="zh-CN"/>
        </w:rPr>
        <w:t>4</w:t>
      </w:r>
      <w:r>
        <w:rPr>
          <w:rFonts w:hint="eastAsia" w:ascii="仿宋_GB2312" w:hAnsi="宋体" w:eastAsia="仿宋_GB2312"/>
          <w:sz w:val="32"/>
        </w:rPr>
        <w:t>,523.46万元。其中：</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宋体" w:eastAsia="仿宋_GB2312"/>
          <w:sz w:val="32"/>
        </w:rPr>
      </w:pPr>
      <w:r>
        <w:rPr>
          <w:rFonts w:hint="eastAsia" w:ascii="仿宋_GB2312" w:hAnsi="宋体" w:eastAsia="仿宋_GB2312"/>
          <w:sz w:val="32"/>
        </w:rPr>
        <w:t>1．纪检监察事务（款）行政运行（项）。年初预算</w:t>
      </w:r>
      <w:r>
        <w:rPr>
          <w:rFonts w:hint="eastAsia" w:ascii="仿宋_GB2312" w:eastAsia="仿宋_GB2312"/>
          <w:sz w:val="32"/>
          <w:lang w:val="en-US" w:eastAsia="zh-CN"/>
        </w:rPr>
        <w:t>1812.74</w:t>
      </w:r>
      <w:r>
        <w:rPr>
          <w:rFonts w:hint="eastAsia" w:ascii="仿宋_GB2312" w:hAnsi="宋体" w:eastAsia="仿宋_GB2312"/>
          <w:sz w:val="32"/>
        </w:rPr>
        <w:t>万元，决算支出</w:t>
      </w:r>
      <w:r>
        <w:rPr>
          <w:rFonts w:hint="eastAsia" w:ascii="仿宋_GB2312" w:hAnsi="宋体" w:eastAsia="仿宋_GB2312"/>
          <w:sz w:val="32"/>
          <w:lang w:val="en-US" w:eastAsia="zh-CN"/>
        </w:rPr>
        <w:t>2018.28</w:t>
      </w:r>
      <w:r>
        <w:rPr>
          <w:rFonts w:hint="eastAsia" w:ascii="仿宋_GB2312" w:hAnsi="宋体" w:eastAsia="仿宋_GB2312"/>
          <w:sz w:val="32"/>
        </w:rPr>
        <w:t>万元，完成年初预算的</w:t>
      </w:r>
      <w:r>
        <w:rPr>
          <w:rFonts w:hint="eastAsia" w:ascii="仿宋_GB2312" w:eastAsia="仿宋_GB2312"/>
          <w:sz w:val="32"/>
        </w:rPr>
        <w:t>11</w:t>
      </w:r>
      <w:r>
        <w:rPr>
          <w:rFonts w:hint="eastAsia" w:ascii="仿宋_GB2312" w:eastAsia="仿宋_GB2312"/>
          <w:sz w:val="32"/>
          <w:lang w:val="en-US" w:eastAsia="zh-CN"/>
        </w:rPr>
        <w:t>1.34</w:t>
      </w:r>
      <w:r>
        <w:rPr>
          <w:rFonts w:hint="eastAsia" w:ascii="仿宋_GB2312" w:hAnsi="宋体" w:eastAsia="仿宋_GB2312"/>
          <w:sz w:val="32"/>
        </w:rPr>
        <w:t>%。</w:t>
      </w:r>
      <w:r>
        <w:rPr>
          <w:rFonts w:hint="eastAsia" w:ascii="仿宋_GB2312" w:hAnsi="仿宋_GB2312" w:eastAsia="仿宋_GB2312"/>
          <w:kern w:val="2"/>
          <w:sz w:val="32"/>
        </w:rPr>
        <w:t>决算数与年初预算数的差异原因：</w:t>
      </w:r>
      <w:r>
        <w:rPr>
          <w:rFonts w:hint="eastAsia" w:ascii="仿宋_GB2312" w:hAnsi="仿宋_GB2312" w:eastAsia="仿宋_GB2312"/>
          <w:kern w:val="2"/>
          <w:sz w:val="32"/>
          <w:lang w:val="en-US" w:eastAsia="zh-CN"/>
        </w:rPr>
        <w:t>本年度行政支出有所增多</w:t>
      </w:r>
      <w:r>
        <w:rPr>
          <w:rFonts w:hint="eastAsia" w:ascii="仿宋_GB2312" w:hAnsi="仿宋_GB2312" w:eastAsia="仿宋_GB2312"/>
          <w:kern w:val="2"/>
          <w:sz w:val="32"/>
        </w:rPr>
        <w:t>。</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both"/>
        <w:textAlignment w:val="auto"/>
        <w:rPr>
          <w:rFonts w:hint="eastAsia" w:ascii="仿宋_GB2312" w:hAnsi="宋体" w:eastAsia="仿宋_GB2312"/>
          <w:sz w:val="32"/>
        </w:rPr>
      </w:pPr>
      <w:r>
        <w:rPr>
          <w:rFonts w:hint="eastAsia" w:ascii="仿宋_GB2312" w:hAnsi="宋体" w:eastAsia="仿宋_GB2312"/>
          <w:sz w:val="32"/>
        </w:rPr>
        <w:t>2．纪检监察事务（款）一般行政管理事务（项）。年初预算</w:t>
      </w:r>
      <w:r>
        <w:rPr>
          <w:rFonts w:hint="eastAsia" w:ascii="仿宋_GB2312" w:eastAsia="仿宋_GB2312"/>
          <w:sz w:val="32"/>
          <w:lang w:val="en-US" w:eastAsia="zh-CN"/>
        </w:rPr>
        <w:t>2340</w:t>
      </w:r>
      <w:r>
        <w:rPr>
          <w:rFonts w:hint="eastAsia" w:ascii="仿宋_GB2312" w:hAnsi="宋体" w:eastAsia="仿宋_GB2312"/>
          <w:sz w:val="32"/>
        </w:rPr>
        <w:t>万元，决算支出</w:t>
      </w:r>
      <w:r>
        <w:rPr>
          <w:rFonts w:hint="eastAsia" w:ascii="仿宋_GB2312" w:hAnsi="宋体" w:eastAsia="仿宋_GB2312"/>
          <w:sz w:val="32"/>
          <w:lang w:val="en-US" w:eastAsia="zh-CN"/>
        </w:rPr>
        <w:t>6690.74</w:t>
      </w:r>
      <w:r>
        <w:rPr>
          <w:rFonts w:hint="eastAsia" w:ascii="仿宋_GB2312" w:hAnsi="宋体" w:eastAsia="仿宋_GB2312"/>
          <w:sz w:val="32"/>
        </w:rPr>
        <w:t>万元，完成年初预算的</w:t>
      </w:r>
      <w:r>
        <w:rPr>
          <w:rFonts w:hint="eastAsia" w:ascii="仿宋_GB2312" w:eastAsia="仿宋_GB2312"/>
          <w:sz w:val="32"/>
          <w:lang w:val="en-US" w:eastAsia="zh-CN"/>
        </w:rPr>
        <w:t>285.93</w:t>
      </w:r>
      <w:r>
        <w:rPr>
          <w:rFonts w:hint="eastAsia" w:ascii="仿宋_GB2312" w:hAnsi="宋体" w:eastAsia="仿宋_GB2312"/>
          <w:sz w:val="32"/>
        </w:rPr>
        <w:t>%。</w:t>
      </w:r>
      <w:r>
        <w:rPr>
          <w:rFonts w:hint="eastAsia" w:ascii="仿宋_GB2312" w:hAnsi="仿宋_GB2312" w:eastAsia="仿宋_GB2312"/>
          <w:kern w:val="2"/>
          <w:sz w:val="32"/>
        </w:rPr>
        <w:t>决算数与年初预算数的差异原因：</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支出留置中心一期建设项目尾款、消化以前年度暂付款。</w:t>
      </w:r>
    </w:p>
    <w:p>
      <w:pPr>
        <w:widowControl/>
        <w:spacing w:before="100" w:beforeLines="0" w:after="100" w:afterLines="0" w:line="580" w:lineRule="atLeast"/>
        <w:ind w:firstLine="601"/>
        <w:rPr>
          <w:rFonts w:hint="eastAsia" w:ascii="仿宋_GB2312" w:hAnsi="仿宋_GB2312" w:eastAsia="仿宋_GB2312"/>
          <w:kern w:val="2"/>
          <w:sz w:val="32"/>
        </w:rPr>
      </w:pPr>
      <w:r>
        <w:rPr>
          <w:rFonts w:hint="eastAsia" w:ascii="仿宋_GB2312" w:hAnsi="宋体" w:eastAsia="仿宋_GB2312"/>
          <w:sz w:val="32"/>
        </w:rPr>
        <w:t>3．纪检监察事务（款）机关服务（项）。年初预算</w:t>
      </w:r>
      <w:r>
        <w:rPr>
          <w:rFonts w:hint="eastAsia" w:ascii="仿宋_GB2312" w:eastAsia="仿宋_GB2312"/>
          <w:sz w:val="32"/>
          <w:lang w:val="en-US" w:eastAsia="zh-CN"/>
        </w:rPr>
        <w:t>585.13</w:t>
      </w:r>
      <w:r>
        <w:rPr>
          <w:rFonts w:hint="eastAsia" w:ascii="仿宋_GB2312" w:hAnsi="宋体" w:eastAsia="仿宋_GB2312"/>
          <w:sz w:val="32"/>
        </w:rPr>
        <w:t>万元，决算支出</w:t>
      </w:r>
      <w:r>
        <w:rPr>
          <w:rFonts w:hint="eastAsia" w:ascii="仿宋_GB2312" w:hAnsi="宋体" w:eastAsia="仿宋_GB2312"/>
          <w:sz w:val="32"/>
          <w:lang w:val="en-US" w:eastAsia="zh-CN"/>
        </w:rPr>
        <w:t>552.61</w:t>
      </w:r>
      <w:r>
        <w:rPr>
          <w:rFonts w:hint="eastAsia" w:ascii="仿宋_GB2312" w:hAnsi="宋体" w:eastAsia="仿宋_GB2312"/>
          <w:sz w:val="32"/>
        </w:rPr>
        <w:t>万元，完成年初预算的9</w:t>
      </w:r>
      <w:r>
        <w:rPr>
          <w:rFonts w:hint="eastAsia" w:ascii="仿宋_GB2312" w:hAnsi="宋体" w:eastAsia="仿宋_GB2312"/>
          <w:sz w:val="32"/>
          <w:lang w:val="en-US" w:eastAsia="zh-CN"/>
        </w:rPr>
        <w:t>4.44</w:t>
      </w:r>
      <w:r>
        <w:rPr>
          <w:rFonts w:hint="eastAsia" w:ascii="仿宋_GB2312" w:hAnsi="宋体" w:eastAsia="仿宋_GB2312"/>
          <w:sz w:val="32"/>
        </w:rPr>
        <w:t>%。</w:t>
      </w:r>
      <w:r>
        <w:rPr>
          <w:rFonts w:hint="eastAsia" w:ascii="仿宋_GB2312" w:hAnsi="仿宋_GB2312" w:eastAsia="仿宋_GB2312"/>
          <w:kern w:val="2"/>
          <w:sz w:val="32"/>
        </w:rPr>
        <w:t>决算数与年初预算数的差异原因：</w:t>
      </w:r>
      <w:r>
        <w:rPr>
          <w:rFonts w:hint="eastAsia" w:ascii="仿宋_GB2312" w:hAnsi="仿宋_GB2312" w:eastAsia="仿宋_GB2312"/>
          <w:kern w:val="2"/>
          <w:sz w:val="32"/>
          <w:lang w:val="en-US" w:eastAsia="zh-CN"/>
        </w:rPr>
        <w:t>事业支出有所下降</w:t>
      </w:r>
      <w:r>
        <w:rPr>
          <w:rFonts w:hint="eastAsia" w:ascii="仿宋_GB2312" w:hAnsi="仿宋_GB2312" w:eastAsia="仿宋_GB2312"/>
          <w:kern w:val="2"/>
          <w:sz w:val="32"/>
        </w:rPr>
        <w:t>。</w:t>
      </w:r>
    </w:p>
    <w:p>
      <w:pPr>
        <w:widowControl/>
        <w:spacing w:before="100" w:beforeLines="0" w:after="100" w:afterLines="0" w:line="580" w:lineRule="atLeast"/>
        <w:ind w:firstLine="601"/>
        <w:rPr>
          <w:rFonts w:hint="eastAsia" w:ascii="仿宋_GB2312" w:hAnsi="仿宋_GB2312" w:eastAsia="仿宋_GB2312"/>
          <w:kern w:val="2"/>
          <w:sz w:val="32"/>
        </w:rPr>
      </w:pPr>
      <w:r>
        <w:rPr>
          <w:rFonts w:hint="eastAsia" w:ascii="仿宋_GB2312" w:hAnsi="宋体" w:eastAsia="仿宋_GB2312"/>
          <w:sz w:val="32"/>
        </w:rPr>
        <w:t>4．纪检监察事务（款）其他纪检监察事务支出（项）。年初预算</w:t>
      </w:r>
      <w:r>
        <w:rPr>
          <w:rFonts w:hint="eastAsia" w:ascii="仿宋_GB2312" w:eastAsia="仿宋_GB2312"/>
          <w:sz w:val="32"/>
        </w:rPr>
        <w:t>0</w:t>
      </w:r>
      <w:r>
        <w:rPr>
          <w:rFonts w:hint="eastAsia" w:ascii="仿宋_GB2312" w:eastAsia="仿宋_GB2312"/>
          <w:sz w:val="32"/>
          <w:lang w:val="en-US" w:eastAsia="zh-CN"/>
        </w:rPr>
        <w:t>.3</w:t>
      </w:r>
      <w:r>
        <w:rPr>
          <w:rFonts w:hint="eastAsia" w:ascii="仿宋_GB2312" w:hAnsi="宋体" w:eastAsia="仿宋_GB2312"/>
          <w:sz w:val="32"/>
        </w:rPr>
        <w:t>万元，决算支出</w:t>
      </w:r>
      <w:r>
        <w:rPr>
          <w:rFonts w:hint="eastAsia" w:ascii="仿宋_GB2312" w:hAnsi="宋体" w:eastAsia="仿宋_GB2312"/>
          <w:sz w:val="32"/>
          <w:lang w:val="en-US" w:eastAsia="zh-CN"/>
        </w:rPr>
        <w:t>0</w:t>
      </w:r>
      <w:r>
        <w:rPr>
          <w:rFonts w:hint="eastAsia" w:ascii="仿宋_GB2312" w:hAnsi="宋体" w:eastAsia="仿宋_GB2312"/>
          <w:sz w:val="32"/>
        </w:rPr>
        <w:t>万元，完成年初预算的</w:t>
      </w:r>
      <w:r>
        <w:rPr>
          <w:rFonts w:hint="eastAsia" w:ascii="仿宋_GB2312" w:eastAsia="仿宋_GB2312"/>
          <w:sz w:val="32"/>
          <w:lang w:val="en-US" w:eastAsia="zh-CN"/>
        </w:rPr>
        <w:t>0</w:t>
      </w:r>
      <w:r>
        <w:rPr>
          <w:rFonts w:hint="eastAsia" w:ascii="仿宋_GB2312" w:hAnsi="宋体" w:eastAsia="仿宋_GB2312"/>
          <w:sz w:val="32"/>
        </w:rPr>
        <w:t>%。</w:t>
      </w:r>
      <w:r>
        <w:rPr>
          <w:rFonts w:hint="eastAsia" w:ascii="仿宋_GB2312" w:hAnsi="仿宋_GB2312" w:eastAsia="仿宋_GB2312"/>
          <w:kern w:val="2"/>
          <w:sz w:val="32"/>
        </w:rPr>
        <w:t xml:space="preserve">决算数与年初预算数的差异原因： </w:t>
      </w:r>
      <w:r>
        <w:rPr>
          <w:rFonts w:hint="eastAsia" w:ascii="仿宋_GB2312" w:hAnsi="仿宋_GB2312" w:eastAsia="仿宋_GB2312"/>
          <w:kern w:val="2"/>
          <w:sz w:val="32"/>
          <w:lang w:val="en-US" w:eastAsia="zh-CN"/>
        </w:rPr>
        <w:t>年初0.3万元为上年度信息化结余专项资金，2023年未使用</w:t>
      </w:r>
      <w:r>
        <w:rPr>
          <w:rFonts w:hint="eastAsia" w:ascii="仿宋_GB2312" w:hAnsi="宋体" w:eastAsia="仿宋_GB2312"/>
          <w:sz w:val="32"/>
        </w:rPr>
        <w:t>。</w:t>
      </w:r>
    </w:p>
    <w:p>
      <w:pPr>
        <w:widowControl/>
        <w:spacing w:before="100" w:beforeLines="0" w:after="100" w:afterLines="0" w:line="580" w:lineRule="atLeast"/>
        <w:ind w:firstLine="601"/>
        <w:rPr>
          <w:rFonts w:hint="eastAsia" w:ascii="仿宋_GB2312" w:hAnsi="仿宋_GB2312" w:eastAsia="仿宋_GB2312"/>
          <w:kern w:val="2"/>
          <w:sz w:val="32"/>
        </w:rPr>
      </w:pPr>
      <w:r>
        <w:rPr>
          <w:rFonts w:hint="eastAsia" w:ascii="仿宋_GB2312" w:hAnsi="宋体" w:eastAsia="仿宋_GB2312"/>
          <w:sz w:val="32"/>
        </w:rPr>
        <w:t>5.群众团体事务（款）其他群众团体事务支出（项）。年初预算</w:t>
      </w:r>
      <w:r>
        <w:rPr>
          <w:rFonts w:hint="eastAsia" w:ascii="仿宋_GB2312" w:eastAsia="仿宋_GB2312"/>
          <w:sz w:val="32"/>
          <w:lang w:val="en-US" w:eastAsia="zh-CN"/>
        </w:rPr>
        <w:t>37.49</w:t>
      </w:r>
      <w:r>
        <w:rPr>
          <w:rFonts w:hint="eastAsia" w:ascii="仿宋_GB2312" w:hAnsi="宋体" w:eastAsia="仿宋_GB2312"/>
          <w:sz w:val="32"/>
        </w:rPr>
        <w:t>万元，决算支出</w:t>
      </w:r>
      <w:r>
        <w:rPr>
          <w:rFonts w:hint="eastAsia" w:ascii="仿宋_GB2312" w:hAnsi="宋体" w:eastAsia="仿宋_GB2312"/>
          <w:sz w:val="32"/>
          <w:lang w:val="en-US" w:eastAsia="zh-CN"/>
        </w:rPr>
        <w:t>37.49</w:t>
      </w:r>
      <w:r>
        <w:rPr>
          <w:rFonts w:hint="eastAsia" w:ascii="仿宋_GB2312" w:hAnsi="宋体" w:eastAsia="仿宋_GB2312"/>
          <w:sz w:val="32"/>
        </w:rPr>
        <w:t>万元，完成年初预算的1</w:t>
      </w:r>
      <w:r>
        <w:rPr>
          <w:rFonts w:hint="eastAsia" w:ascii="仿宋_GB2312" w:hAnsi="宋体" w:eastAsia="仿宋_GB2312"/>
          <w:sz w:val="32"/>
          <w:lang w:val="en-US" w:eastAsia="zh-CN"/>
        </w:rPr>
        <w:t>00</w:t>
      </w:r>
      <w:r>
        <w:rPr>
          <w:rFonts w:hint="eastAsia" w:ascii="仿宋_GB2312" w:hAnsi="宋体" w:eastAsia="仿宋_GB2312"/>
          <w:sz w:val="32"/>
        </w:rPr>
        <w:t>%。</w:t>
      </w:r>
      <w:r>
        <w:rPr>
          <w:rFonts w:hint="eastAsia" w:ascii="仿宋_GB2312" w:hAnsi="仿宋_GB2312" w:eastAsia="仿宋_GB2312"/>
          <w:kern w:val="2"/>
          <w:sz w:val="32"/>
        </w:rPr>
        <w:t>决算数与年初预算数的差异原因：</w:t>
      </w:r>
      <w:r>
        <w:rPr>
          <w:rFonts w:hint="eastAsia" w:ascii="仿宋_GB2312" w:hAnsi="仿宋_GB2312" w:eastAsia="仿宋_GB2312"/>
          <w:kern w:val="2"/>
          <w:sz w:val="32"/>
          <w:lang w:val="en-US" w:eastAsia="zh-CN"/>
        </w:rPr>
        <w:t>与年初预算数据无差异</w:t>
      </w:r>
      <w:r>
        <w:rPr>
          <w:rFonts w:hint="eastAsia" w:ascii="仿宋_GB2312" w:hAnsi="仿宋_GB2312" w:eastAsia="仿宋_GB2312"/>
          <w:kern w:val="2"/>
          <w:sz w:val="32"/>
        </w:rPr>
        <w:t>。</w:t>
      </w:r>
    </w:p>
    <w:p>
      <w:pPr>
        <w:widowControl/>
        <w:spacing w:before="100" w:beforeLines="0" w:after="100" w:afterLines="0" w:line="580" w:lineRule="atLeast"/>
        <w:ind w:firstLine="601"/>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lang w:val="en-US" w:eastAsia="zh-CN"/>
        </w:rPr>
        <w:t>二</w:t>
      </w:r>
      <w:r>
        <w:rPr>
          <w:rFonts w:hint="eastAsia" w:ascii="仿宋_GB2312" w:hAnsi="仿宋_GB2312" w:eastAsia="仿宋_GB2312" w:cs="仿宋_GB2312"/>
          <w:b/>
          <w:bCs/>
          <w:kern w:val="2"/>
          <w:sz w:val="32"/>
          <w:szCs w:val="32"/>
          <w:lang w:eastAsia="zh-CN"/>
        </w:rPr>
        <w:t>）</w:t>
      </w:r>
      <w:r>
        <w:rPr>
          <w:rFonts w:hint="eastAsia" w:ascii="仿宋_GB2312" w:hAnsi="仿宋_GB2312" w:eastAsia="仿宋_GB2312" w:cs="仿宋_GB2312"/>
          <w:b/>
          <w:bCs/>
          <w:kern w:val="2"/>
          <w:sz w:val="32"/>
          <w:szCs w:val="32"/>
        </w:rPr>
        <w:t>教育支出（类）</w:t>
      </w:r>
    </w:p>
    <w:p>
      <w:pPr>
        <w:spacing w:beforeLines="0" w:afterLines="0" w:line="560" w:lineRule="exact"/>
        <w:ind w:firstLine="640"/>
        <w:jc w:val="both"/>
        <w:rPr>
          <w:rFonts w:hint="default" w:eastAsia="Times New Roman"/>
          <w:kern w:val="2"/>
          <w:sz w:val="32"/>
        </w:rPr>
      </w:pPr>
      <w:r>
        <w:rPr>
          <w:rFonts w:hint="eastAsia" w:ascii="仿宋_GB2312" w:hAnsi="仿宋_GB2312" w:eastAsia="仿宋_GB2312"/>
          <w:kern w:val="2"/>
          <w:sz w:val="32"/>
          <w:lang w:val="en-US" w:eastAsia="zh-CN"/>
        </w:rPr>
        <w:t>教育支出类决算数为</w:t>
      </w:r>
      <w:r>
        <w:rPr>
          <w:rFonts w:hint="eastAsia" w:eastAsia="仿宋_GB2312"/>
          <w:kern w:val="2"/>
          <w:sz w:val="32"/>
          <w:lang w:val="en-US" w:eastAsia="zh-CN"/>
        </w:rPr>
        <w:t>380.54</w:t>
      </w:r>
      <w:r>
        <w:rPr>
          <w:rFonts w:hint="eastAsia" w:ascii="仿宋_GB2312" w:hAnsi="仿宋_GB2312" w:eastAsia="仿宋_GB2312"/>
          <w:kern w:val="2"/>
          <w:sz w:val="32"/>
        </w:rPr>
        <w:t>万元，</w:t>
      </w:r>
      <w:r>
        <w:rPr>
          <w:rFonts w:hint="eastAsia" w:ascii="仿宋_GB2312" w:hAnsi="宋体" w:eastAsia="仿宋_GB2312"/>
          <w:sz w:val="32"/>
        </w:rPr>
        <w:t>与年初预算相比</w:t>
      </w:r>
      <w:r>
        <w:rPr>
          <w:rFonts w:hint="eastAsia" w:ascii="仿宋_GB2312" w:hAnsi="宋体" w:eastAsia="仿宋_GB2312"/>
          <w:sz w:val="32"/>
          <w:lang w:val="en-US" w:eastAsia="zh-CN"/>
        </w:rPr>
        <w:t>减少134.02</w:t>
      </w:r>
      <w:r>
        <w:rPr>
          <w:rFonts w:hint="eastAsia" w:ascii="仿宋_GB2312" w:hAnsi="宋体" w:eastAsia="仿宋_GB2312"/>
          <w:sz w:val="32"/>
        </w:rPr>
        <w:t>万元。其中：</w:t>
      </w:r>
    </w:p>
    <w:p>
      <w:pPr>
        <w:numPr>
          <w:ilvl w:val="0"/>
          <w:numId w:val="2"/>
        </w:numPr>
        <w:spacing w:beforeLines="0" w:afterLines="0" w:line="560" w:lineRule="exact"/>
        <w:ind w:firstLine="640"/>
        <w:jc w:val="both"/>
        <w:rPr>
          <w:rFonts w:hint="eastAsia" w:ascii="仿宋_GB2312" w:hAnsi="仿宋_GB2312" w:eastAsia="仿宋_GB2312"/>
          <w:kern w:val="2"/>
          <w:sz w:val="32"/>
          <w:lang w:eastAsia="zh-CN"/>
        </w:rPr>
      </w:pPr>
      <w:r>
        <w:rPr>
          <w:rFonts w:hint="eastAsia" w:ascii="仿宋_GB2312" w:hAnsi="仿宋_GB2312" w:eastAsia="仿宋_GB2312"/>
          <w:kern w:val="2"/>
          <w:sz w:val="32"/>
        </w:rPr>
        <w:t>进修及培训（款）干部教育（项）。年初预算</w:t>
      </w:r>
      <w:r>
        <w:rPr>
          <w:rFonts w:hint="eastAsia" w:eastAsia="宋体"/>
          <w:kern w:val="2"/>
          <w:sz w:val="32"/>
          <w:lang w:val="en-US" w:eastAsia="zh-CN"/>
        </w:rPr>
        <w:t>514.56</w:t>
      </w:r>
      <w:r>
        <w:rPr>
          <w:rFonts w:hint="eastAsia" w:ascii="仿宋_GB2312" w:hAnsi="仿宋_GB2312" w:eastAsia="仿宋_GB2312"/>
          <w:kern w:val="2"/>
          <w:sz w:val="32"/>
        </w:rPr>
        <w:t>万元，支出决算</w:t>
      </w:r>
      <w:r>
        <w:rPr>
          <w:rFonts w:hint="eastAsia" w:eastAsia="仿宋_GB2312"/>
          <w:kern w:val="2"/>
          <w:sz w:val="32"/>
          <w:lang w:val="en-US" w:eastAsia="zh-CN"/>
        </w:rPr>
        <w:t>380.54</w:t>
      </w:r>
      <w:r>
        <w:rPr>
          <w:rFonts w:hint="eastAsia" w:ascii="仿宋_GB2312" w:hAnsi="仿宋_GB2312" w:eastAsia="仿宋_GB2312"/>
          <w:kern w:val="2"/>
          <w:sz w:val="32"/>
        </w:rPr>
        <w:t>万元，完成年初预算的</w:t>
      </w:r>
      <w:r>
        <w:rPr>
          <w:rFonts w:hint="eastAsia" w:eastAsia="仿宋_GB2312"/>
          <w:kern w:val="2"/>
          <w:sz w:val="32"/>
          <w:lang w:val="en-US" w:eastAsia="zh-CN"/>
        </w:rPr>
        <w:t>73.95</w:t>
      </w:r>
      <w:r>
        <w:rPr>
          <w:rFonts w:hint="eastAsia" w:ascii="仿宋_GB2312" w:hAnsi="仿宋_GB2312" w:eastAsia="仿宋_GB2312"/>
          <w:kern w:val="2"/>
          <w:sz w:val="32"/>
        </w:rPr>
        <w:t>%。决算数与年初预算数的差异原因：廉政教育中心二期建设</w:t>
      </w:r>
      <w:r>
        <w:rPr>
          <w:rFonts w:hint="eastAsia" w:ascii="仿宋_GB2312" w:hAnsi="仿宋_GB2312" w:eastAsia="仿宋_GB2312"/>
          <w:kern w:val="2"/>
          <w:sz w:val="32"/>
          <w:lang w:val="en-US" w:eastAsia="zh-CN"/>
        </w:rPr>
        <w:t>弱电质保金未支付，待质保期满后进行支付，故与年初预算产生差异</w:t>
      </w:r>
      <w:r>
        <w:rPr>
          <w:rFonts w:hint="eastAsia" w:ascii="仿宋_GB2312" w:hAnsi="仿宋_GB2312" w:eastAsia="仿宋_GB2312"/>
          <w:kern w:val="2"/>
          <w:sz w:val="32"/>
          <w:lang w:eastAsia="zh-CN"/>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仿宋_GB2312" w:hAnsi="仿宋_GB2312" w:eastAsia="仿宋_GB2312" w:cs="仿宋_GB2312"/>
          <w:b/>
          <w:bCs/>
          <w:kern w:val="0"/>
          <w:sz w:val="32"/>
          <w:szCs w:val="32"/>
        </w:rPr>
        <w:t xml:space="preserve"> （三）社会保障和就业支出（类）</w:t>
      </w:r>
    </w:p>
    <w:p>
      <w:pPr>
        <w:widowControl/>
        <w:spacing w:before="240" w:after="240"/>
        <w:ind w:firstLine="506"/>
        <w:jc w:val="left"/>
        <w:rPr>
          <w:rFonts w:hint="eastAsia" w:eastAsia="仿宋_GB2312"/>
          <w:kern w:val="2"/>
          <w:sz w:val="32"/>
          <w:lang w:val="en-US" w:eastAsia="zh-CN"/>
        </w:rPr>
      </w:pPr>
      <w:r>
        <w:rPr>
          <w:rFonts w:hint="eastAsia" w:eastAsia="仿宋_GB2312"/>
          <w:kern w:val="2"/>
          <w:sz w:val="32"/>
          <w:lang w:val="en-US" w:eastAsia="zh-CN"/>
        </w:rPr>
        <w:t>社会保障和就业支出类决算数为 415.38万元，与年初预算相比减少53.66万元。其中：</w:t>
      </w:r>
    </w:p>
    <w:p>
      <w:pPr>
        <w:widowControl/>
        <w:spacing w:before="240" w:after="240"/>
        <w:ind w:firstLine="506"/>
        <w:jc w:val="left"/>
        <w:rPr>
          <w:rFonts w:hint="eastAsia" w:ascii="仿宋_GB2312" w:hAnsi="仿宋_GB2312" w:eastAsia="仿宋_GB2312"/>
          <w:kern w:val="2"/>
          <w:sz w:val="32"/>
        </w:rPr>
      </w:pPr>
      <w:r>
        <w:rPr>
          <w:rFonts w:hint="default" w:eastAsia="Times New Roman"/>
          <w:kern w:val="2"/>
          <w:sz w:val="32"/>
        </w:rPr>
        <w:t>1</w:t>
      </w:r>
      <w:r>
        <w:rPr>
          <w:rFonts w:hint="eastAsia" w:ascii="仿宋_GB2312" w:hAnsi="仿宋_GB2312" w:eastAsia="仿宋_GB2312"/>
          <w:kern w:val="2"/>
          <w:sz w:val="32"/>
        </w:rPr>
        <w:t>．行政事业单位养老支出（款）行政单位离退休（项）。年初预算</w:t>
      </w:r>
      <w:r>
        <w:rPr>
          <w:rFonts w:hint="eastAsia" w:eastAsia="仿宋_GB2312"/>
          <w:kern w:val="2"/>
          <w:sz w:val="32"/>
          <w:lang w:val="en-US" w:eastAsia="zh-CN"/>
        </w:rPr>
        <w:t>60.28</w:t>
      </w:r>
      <w:r>
        <w:rPr>
          <w:rFonts w:hint="eastAsia" w:ascii="仿宋_GB2312" w:hAnsi="仿宋_GB2312" w:eastAsia="仿宋_GB2312"/>
          <w:kern w:val="2"/>
          <w:sz w:val="32"/>
        </w:rPr>
        <w:t>万元，支出决算</w:t>
      </w:r>
      <w:r>
        <w:rPr>
          <w:rFonts w:hint="eastAsia" w:eastAsia="宋体"/>
          <w:kern w:val="2"/>
          <w:sz w:val="32"/>
          <w:lang w:val="en-US" w:eastAsia="zh-CN"/>
        </w:rPr>
        <w:t>42.49</w:t>
      </w:r>
      <w:r>
        <w:rPr>
          <w:rFonts w:hint="eastAsia" w:ascii="仿宋_GB2312" w:hAnsi="仿宋_GB2312" w:eastAsia="仿宋_GB2312"/>
          <w:kern w:val="2"/>
          <w:sz w:val="32"/>
        </w:rPr>
        <w:t>万元，完成年初预算的</w:t>
      </w:r>
      <w:r>
        <w:rPr>
          <w:rFonts w:hint="eastAsia" w:eastAsia="宋体"/>
          <w:kern w:val="2"/>
          <w:sz w:val="32"/>
          <w:lang w:val="en-US" w:eastAsia="zh-CN"/>
        </w:rPr>
        <w:t>70.49</w:t>
      </w:r>
      <w:r>
        <w:rPr>
          <w:rFonts w:hint="eastAsia" w:ascii="仿宋_GB2312" w:hAnsi="仿宋_GB2312" w:eastAsia="仿宋_GB2312"/>
          <w:kern w:val="2"/>
          <w:sz w:val="32"/>
        </w:rPr>
        <w:t>%。决算数与年初预算数的差异原因：</w:t>
      </w:r>
      <w:r>
        <w:rPr>
          <w:rFonts w:hint="eastAsia" w:ascii="仿宋_GB2312" w:hAnsi="仿宋_GB2312" w:eastAsia="仿宋_GB2312"/>
          <w:color w:val="auto"/>
          <w:kern w:val="2"/>
          <w:sz w:val="32"/>
          <w:lang w:val="en-US" w:eastAsia="zh-CN"/>
        </w:rPr>
        <w:t>2023年初有一名离休人员去世</w:t>
      </w:r>
      <w:r>
        <w:rPr>
          <w:rFonts w:hint="eastAsia" w:ascii="仿宋_GB2312" w:hAnsi="仿宋_GB2312" w:eastAsia="仿宋_GB2312"/>
          <w:color w:val="auto"/>
          <w:kern w:val="2"/>
          <w:sz w:val="32"/>
        </w:rPr>
        <w:t>。</w:t>
      </w:r>
    </w:p>
    <w:p>
      <w:pPr>
        <w:spacing w:beforeLines="0" w:afterLines="0" w:line="560" w:lineRule="exact"/>
        <w:ind w:firstLine="640"/>
        <w:jc w:val="both"/>
        <w:rPr>
          <w:rFonts w:hint="eastAsia" w:ascii="仿宋_GB2312" w:hAnsi="仿宋_GB2312" w:eastAsia="仿宋_GB2312"/>
          <w:kern w:val="2"/>
          <w:sz w:val="32"/>
        </w:rPr>
      </w:pPr>
      <w:r>
        <w:rPr>
          <w:rFonts w:hint="default"/>
          <w:kern w:val="2"/>
          <w:sz w:val="32"/>
        </w:rPr>
        <w:t>2</w:t>
      </w:r>
      <w:r>
        <w:rPr>
          <w:rFonts w:hint="eastAsia" w:ascii="仿宋_GB2312" w:hAnsi="仿宋_GB2312" w:eastAsia="仿宋_GB2312"/>
          <w:kern w:val="2"/>
          <w:sz w:val="32"/>
        </w:rPr>
        <w:t>．行政事业单位养老支出（款）机关事业单位基本养老保险缴费支出（项）。年初预算</w:t>
      </w:r>
      <w:r>
        <w:rPr>
          <w:rFonts w:hint="eastAsia" w:eastAsia="仿宋_GB2312"/>
          <w:kern w:val="2"/>
          <w:sz w:val="32"/>
          <w:lang w:val="en-US" w:eastAsia="zh-CN"/>
        </w:rPr>
        <w:t>272.51</w:t>
      </w:r>
      <w:r>
        <w:rPr>
          <w:rFonts w:hint="eastAsia" w:ascii="仿宋_GB2312" w:hAnsi="仿宋_GB2312" w:eastAsia="仿宋_GB2312"/>
          <w:kern w:val="2"/>
          <w:sz w:val="32"/>
        </w:rPr>
        <w:t>万元，支出决算</w:t>
      </w:r>
      <w:r>
        <w:rPr>
          <w:rFonts w:hint="eastAsia" w:eastAsia="宋体"/>
          <w:kern w:val="2"/>
          <w:sz w:val="32"/>
          <w:lang w:val="en-US" w:eastAsia="zh-CN"/>
        </w:rPr>
        <w:t>251.77</w:t>
      </w:r>
      <w:r>
        <w:rPr>
          <w:rFonts w:hint="eastAsia" w:ascii="仿宋_GB2312" w:hAnsi="仿宋_GB2312" w:eastAsia="仿宋_GB2312"/>
          <w:kern w:val="2"/>
          <w:sz w:val="32"/>
        </w:rPr>
        <w:t>万元，完成年初预算的</w:t>
      </w:r>
      <w:r>
        <w:rPr>
          <w:rFonts w:hint="eastAsia" w:eastAsia="仿宋_GB2312"/>
          <w:kern w:val="2"/>
          <w:sz w:val="32"/>
          <w:lang w:val="en-US" w:eastAsia="zh-CN"/>
        </w:rPr>
        <w:t>92.39</w:t>
      </w:r>
      <w:r>
        <w:rPr>
          <w:rFonts w:hint="eastAsia" w:ascii="仿宋_GB2312" w:hAnsi="仿宋_GB2312" w:eastAsia="仿宋_GB2312"/>
          <w:kern w:val="2"/>
          <w:sz w:val="32"/>
        </w:rPr>
        <w:t>%。决算数与年初预算数的差异原因：正常的养老保险调整。</w:t>
      </w:r>
    </w:p>
    <w:p>
      <w:pPr>
        <w:spacing w:beforeLines="0" w:afterLines="0" w:line="560" w:lineRule="exact"/>
        <w:ind w:firstLine="640"/>
        <w:jc w:val="both"/>
        <w:rPr>
          <w:rFonts w:ascii="Times New Roman" w:hAnsi="Times New Roman" w:eastAsia="Times New Roman" w:cs="Times New Roman"/>
          <w:kern w:val="0"/>
          <w:sz w:val="24"/>
        </w:rPr>
      </w:pPr>
      <w:r>
        <w:rPr>
          <w:rFonts w:hint="default"/>
          <w:kern w:val="2"/>
          <w:sz w:val="32"/>
        </w:rPr>
        <w:t>3</w:t>
      </w:r>
      <w:r>
        <w:rPr>
          <w:rFonts w:hint="eastAsia" w:ascii="仿宋_GB2312" w:hAnsi="仿宋_GB2312" w:eastAsia="仿宋_GB2312"/>
          <w:kern w:val="2"/>
          <w:sz w:val="32"/>
        </w:rPr>
        <w:t>．行政事业单位养老支出（款）机关事业单位职业年金缴费支出（项）。年初预算</w:t>
      </w:r>
      <w:r>
        <w:rPr>
          <w:rFonts w:hint="eastAsia" w:eastAsia="仿宋_GB2312"/>
          <w:kern w:val="2"/>
          <w:sz w:val="32"/>
          <w:lang w:val="en-US" w:eastAsia="zh-CN"/>
        </w:rPr>
        <w:t>136.26</w:t>
      </w:r>
      <w:r>
        <w:rPr>
          <w:rFonts w:hint="eastAsia" w:ascii="仿宋_GB2312" w:hAnsi="仿宋_GB2312" w:eastAsia="仿宋_GB2312"/>
          <w:kern w:val="2"/>
          <w:sz w:val="32"/>
        </w:rPr>
        <w:t>万元，支出决算</w:t>
      </w:r>
      <w:r>
        <w:rPr>
          <w:rFonts w:hint="eastAsia" w:eastAsia="宋体"/>
          <w:kern w:val="2"/>
          <w:sz w:val="32"/>
          <w:lang w:val="en-US" w:eastAsia="zh-CN"/>
        </w:rPr>
        <w:t>121.12</w:t>
      </w:r>
      <w:r>
        <w:rPr>
          <w:rFonts w:hint="eastAsia" w:ascii="仿宋_GB2312" w:hAnsi="仿宋_GB2312" w:eastAsia="仿宋_GB2312"/>
          <w:kern w:val="2"/>
          <w:sz w:val="32"/>
        </w:rPr>
        <w:t>万元，完成年初预算的</w:t>
      </w:r>
      <w:r>
        <w:rPr>
          <w:rFonts w:hint="eastAsia" w:eastAsia="仿宋_GB2312"/>
          <w:kern w:val="2"/>
          <w:sz w:val="32"/>
          <w:lang w:val="en-US" w:eastAsia="zh-CN"/>
        </w:rPr>
        <w:t>88.89</w:t>
      </w:r>
      <w:r>
        <w:rPr>
          <w:rFonts w:hint="eastAsia" w:ascii="仿宋_GB2312" w:hAnsi="仿宋_GB2312" w:eastAsia="仿宋_GB2312"/>
          <w:kern w:val="2"/>
          <w:sz w:val="32"/>
        </w:rPr>
        <w:t>%。决算数与年初预算数的差异原因：部分人员职业年金未做实。</w:t>
      </w:r>
    </w:p>
    <w:p>
      <w:pPr>
        <w:widowControl/>
        <w:spacing w:before="240" w:after="2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（四）卫生健康支出（类）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卫生健康支出类决算数为 125.88万元，与年初预算相比减少12.23万元。其中：</w:t>
      </w:r>
    </w:p>
    <w:p>
      <w:pPr>
        <w:spacing w:beforeLines="0" w:afterLines="0" w:line="560" w:lineRule="exact"/>
        <w:ind w:firstLine="640"/>
        <w:jc w:val="both"/>
        <w:rPr>
          <w:rFonts w:hint="eastAsia" w:ascii="仿宋_GB2312" w:hAnsi="仿宋_GB2312" w:eastAsia="仿宋_GB2312"/>
          <w:kern w:val="2"/>
          <w:sz w:val="32"/>
        </w:rPr>
      </w:pPr>
      <w:r>
        <w:rPr>
          <w:rFonts w:hint="default" w:eastAsia="Times New Roman"/>
          <w:kern w:val="2"/>
          <w:sz w:val="32"/>
        </w:rPr>
        <w:t>1</w:t>
      </w:r>
      <w:r>
        <w:rPr>
          <w:rFonts w:hint="eastAsia" w:ascii="仿宋_GB2312" w:hAnsi="仿宋_GB2312" w:eastAsia="仿宋_GB2312"/>
          <w:kern w:val="2"/>
          <w:sz w:val="32"/>
        </w:rPr>
        <w:t>．行政事业单位医疗（款）行政单位医疗（项）。年初预算</w:t>
      </w:r>
      <w:r>
        <w:rPr>
          <w:rFonts w:hint="eastAsia" w:eastAsia="仿宋_GB2312"/>
          <w:kern w:val="2"/>
          <w:sz w:val="32"/>
          <w:lang w:val="en-US" w:eastAsia="zh-CN"/>
        </w:rPr>
        <w:t>138.11</w:t>
      </w:r>
      <w:r>
        <w:rPr>
          <w:rFonts w:hint="eastAsia" w:ascii="仿宋_GB2312" w:hAnsi="仿宋_GB2312" w:eastAsia="仿宋_GB2312"/>
          <w:kern w:val="2"/>
          <w:sz w:val="32"/>
        </w:rPr>
        <w:t>万元，支出决算</w:t>
      </w:r>
      <w:r>
        <w:rPr>
          <w:rFonts w:hint="eastAsia" w:eastAsia="宋体"/>
          <w:kern w:val="2"/>
          <w:sz w:val="32"/>
          <w:lang w:val="en-US" w:eastAsia="zh-CN"/>
        </w:rPr>
        <w:t>125.88</w:t>
      </w:r>
      <w:r>
        <w:rPr>
          <w:rFonts w:hint="eastAsia" w:ascii="仿宋_GB2312" w:hAnsi="仿宋_GB2312" w:eastAsia="仿宋_GB2312"/>
          <w:kern w:val="2"/>
          <w:sz w:val="32"/>
        </w:rPr>
        <w:t>万元，完成年初预算的</w:t>
      </w:r>
      <w:r>
        <w:rPr>
          <w:rFonts w:hint="eastAsia" w:eastAsia="仿宋_GB2312"/>
          <w:kern w:val="2"/>
          <w:sz w:val="32"/>
          <w:lang w:val="en-US" w:eastAsia="zh-CN"/>
        </w:rPr>
        <w:t>91.14</w:t>
      </w:r>
      <w:r>
        <w:rPr>
          <w:rFonts w:hint="eastAsia" w:ascii="仿宋_GB2312" w:hAnsi="仿宋_GB2312" w:eastAsia="仿宋_GB2312"/>
          <w:kern w:val="2"/>
          <w:sz w:val="32"/>
        </w:rPr>
        <w:t>%。决算数与年初预算数的差异原因：正常的</w:t>
      </w:r>
      <w:r>
        <w:rPr>
          <w:rFonts w:hint="eastAsia" w:ascii="仿宋_GB2312" w:hAnsi="仿宋_GB2312" w:eastAsia="仿宋_GB2312"/>
          <w:kern w:val="2"/>
          <w:sz w:val="32"/>
          <w:lang w:val="en-US" w:eastAsia="zh-CN"/>
        </w:rPr>
        <w:t>医疗保险</w:t>
      </w:r>
      <w:r>
        <w:rPr>
          <w:rFonts w:hint="eastAsia" w:ascii="仿宋_GB2312" w:hAnsi="仿宋_GB2312" w:eastAsia="仿宋_GB2312"/>
          <w:kern w:val="2"/>
          <w:sz w:val="32"/>
        </w:rPr>
        <w:t>调整。</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xml:space="preserve">  </w:t>
      </w:r>
      <w:r>
        <w:rPr>
          <w:rFonts w:hint="eastAsia" w:ascii="仿宋_GB2312" w:hAnsi="仿宋_GB2312" w:eastAsia="仿宋_GB2312" w:cs="仿宋_GB2312"/>
          <w:b/>
          <w:bCs/>
          <w:kern w:val="0"/>
          <w:sz w:val="32"/>
          <w:szCs w:val="32"/>
        </w:rPr>
        <w:t>  （五）住房保障支出（类）</w:t>
      </w:r>
    </w:p>
    <w:p>
      <w:pPr>
        <w:widowControl/>
        <w:spacing w:before="240" w:after="240"/>
        <w:rPr>
          <w:rFonts w:hint="eastAsia" w:ascii="仿宋_GB2312" w:hAnsi="仿宋_GB2312" w:eastAsia="仿宋_GB2312"/>
          <w:kern w:val="2"/>
          <w:sz w:val="32"/>
        </w:rPr>
      </w:pPr>
      <w:r>
        <w:rPr>
          <w:rFonts w:ascii="fang_song_gb2312" w:hAnsi="fang_song_gb2312" w:eastAsia="fang_song_gb2312" w:cs="fang_song_gb2312"/>
          <w:kern w:val="0"/>
          <w:sz w:val="27"/>
          <w:szCs w:val="27"/>
        </w:rPr>
        <w:t>   </w:t>
      </w:r>
      <w:r>
        <w:rPr>
          <w:rFonts w:hint="eastAsia" w:ascii="仿宋_GB2312" w:hAnsi="仿宋_GB2312" w:eastAsia="仿宋_GB2312"/>
          <w:kern w:val="2"/>
          <w:sz w:val="32"/>
        </w:rPr>
        <w:t xml:space="preserve"> 住房保障支出类决算数为 241.46万元，与年初预算相比增加20.49万元。其中：</w:t>
      </w:r>
    </w:p>
    <w:p>
      <w:pPr>
        <w:spacing w:beforeLines="0" w:afterLines="0" w:line="560" w:lineRule="exact"/>
        <w:ind w:firstLine="640"/>
        <w:jc w:val="both"/>
        <w:rPr>
          <w:rFonts w:hint="default" w:eastAsia="Times New Roman"/>
          <w:kern w:val="2"/>
          <w:sz w:val="32"/>
        </w:rPr>
      </w:pPr>
      <w:r>
        <w:rPr>
          <w:rFonts w:hint="default" w:eastAsia="Times New Roman"/>
          <w:kern w:val="2"/>
          <w:sz w:val="32"/>
        </w:rPr>
        <w:t>1</w:t>
      </w:r>
      <w:r>
        <w:rPr>
          <w:rFonts w:hint="eastAsia" w:ascii="仿宋_GB2312" w:hAnsi="仿宋_GB2312" w:eastAsia="仿宋_GB2312"/>
          <w:kern w:val="2"/>
          <w:sz w:val="32"/>
        </w:rPr>
        <w:t>．住房改革支出（款）住房公积金（项）。年初预算</w:t>
      </w:r>
      <w:r>
        <w:rPr>
          <w:rFonts w:hint="eastAsia" w:eastAsia="仿宋_GB2312"/>
          <w:kern w:val="2"/>
          <w:sz w:val="32"/>
          <w:lang w:val="en-US" w:eastAsia="zh-CN"/>
        </w:rPr>
        <w:t>220.97</w:t>
      </w:r>
      <w:r>
        <w:rPr>
          <w:rFonts w:hint="eastAsia" w:ascii="仿宋_GB2312" w:hAnsi="仿宋_GB2312" w:eastAsia="仿宋_GB2312"/>
          <w:kern w:val="2"/>
          <w:sz w:val="32"/>
        </w:rPr>
        <w:t>万元，支出决算</w:t>
      </w:r>
      <w:r>
        <w:rPr>
          <w:rFonts w:hint="eastAsia" w:eastAsia="宋体"/>
          <w:kern w:val="2"/>
          <w:sz w:val="32"/>
          <w:lang w:val="en-US" w:eastAsia="zh-CN"/>
        </w:rPr>
        <w:t>241.46</w:t>
      </w:r>
      <w:r>
        <w:rPr>
          <w:rFonts w:hint="eastAsia" w:ascii="仿宋_GB2312" w:hAnsi="仿宋_GB2312" w:eastAsia="仿宋_GB2312"/>
          <w:kern w:val="2"/>
          <w:sz w:val="32"/>
        </w:rPr>
        <w:t>万元，完成年初预算的</w:t>
      </w:r>
      <w:r>
        <w:rPr>
          <w:rFonts w:hint="eastAsia" w:eastAsia="仿宋_GB2312"/>
          <w:kern w:val="2"/>
          <w:sz w:val="32"/>
          <w:lang w:val="en-US" w:eastAsia="zh-CN"/>
        </w:rPr>
        <w:t>109.27</w:t>
      </w:r>
      <w:r>
        <w:rPr>
          <w:rFonts w:hint="eastAsia" w:ascii="仿宋_GB2312" w:hAnsi="仿宋_GB2312" w:eastAsia="仿宋_GB2312"/>
          <w:kern w:val="2"/>
          <w:sz w:val="32"/>
        </w:rPr>
        <w:t>%。决算数与年初预算数的差异原因：正常的</w:t>
      </w:r>
      <w:r>
        <w:rPr>
          <w:rFonts w:hint="eastAsia" w:ascii="仿宋_GB2312" w:hAnsi="仿宋_GB2312" w:eastAsia="仿宋_GB2312"/>
          <w:kern w:val="2"/>
          <w:sz w:val="32"/>
          <w:lang w:val="en-US" w:eastAsia="zh-CN"/>
        </w:rPr>
        <w:t>公积金</w:t>
      </w:r>
      <w:r>
        <w:rPr>
          <w:rFonts w:hint="eastAsia" w:ascii="仿宋_GB2312" w:hAnsi="仿宋_GB2312" w:eastAsia="仿宋_GB2312"/>
          <w:kern w:val="2"/>
          <w:sz w:val="32"/>
        </w:rPr>
        <w:t>调整。</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六、一般公共预算财政拨款基本支出决算情况说明</w:t>
      </w:r>
    </w:p>
    <w:p>
      <w:pPr>
        <w:widowControl/>
        <w:spacing w:before="240" w:after="240"/>
        <w:rPr>
          <w:rFonts w:hint="eastAsia" w:ascii="仿宋_GB2312" w:hAnsi="仿宋_GB2312" w:eastAsia="仿宋_GB2312"/>
          <w:kern w:val="2"/>
          <w:sz w:val="32"/>
        </w:rPr>
      </w:pPr>
      <w:r>
        <w:rPr>
          <w:rFonts w:ascii="fang_song_gb2312" w:hAnsi="fang_song_gb2312" w:eastAsia="fang_song_gb2312" w:cs="fang_song_gb2312"/>
          <w:kern w:val="0"/>
          <w:sz w:val="27"/>
          <w:szCs w:val="27"/>
        </w:rPr>
        <w:t>   </w:t>
      </w:r>
      <w:r>
        <w:rPr>
          <w:rFonts w:hint="eastAsia" w:ascii="仿宋_GB2312" w:hAnsi="仿宋_GB2312" w:eastAsia="仿宋_GB2312"/>
          <w:kern w:val="2"/>
          <w:sz w:val="32"/>
        </w:rPr>
        <w:t xml:space="preserve"> 中共乌海市纪律检查委员会 2023年度一般公共预算财政拨款基本支出决算 3,445.99万元，其中：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xml:space="preserve">    </w:t>
      </w:r>
      <w:r>
        <w:rPr>
          <w:rFonts w:hint="eastAsia" w:ascii="仿宋_GB2312" w:hAnsi="仿宋_GB2312" w:eastAsia="仿宋_GB2312" w:cs="Times New Roman"/>
          <w:b/>
          <w:kern w:val="2"/>
          <w:sz w:val="32"/>
          <w:szCs w:val="22"/>
        </w:rPr>
        <w:t>（一）人员经费 3,097.12万元。</w:t>
      </w:r>
      <w:r>
        <w:rPr>
          <w:rFonts w:hint="eastAsia" w:ascii="仿宋_GB2312" w:hAnsi="仿宋_GB2312" w:eastAsia="仿宋_GB2312"/>
          <w:kern w:val="2"/>
          <w:sz w:val="32"/>
        </w:rPr>
        <w:t>主要包括：基本工资、津贴补贴、奖金、</w:t>
      </w:r>
      <w:r>
        <w:rPr>
          <w:rFonts w:hint="eastAsia" w:ascii="仿宋_GB2312" w:hAnsi="仿宋_GB2312" w:eastAsia="仿宋_GB2312"/>
          <w:kern w:val="2"/>
          <w:sz w:val="32"/>
          <w:lang w:val="en-US" w:eastAsia="zh-CN"/>
        </w:rPr>
        <w:t>伙食补助费、</w:t>
      </w:r>
      <w:r>
        <w:rPr>
          <w:rFonts w:hint="eastAsia" w:ascii="仿宋_GB2312" w:hAnsi="仿宋_GB2312" w:eastAsia="仿宋_GB2312"/>
          <w:kern w:val="2"/>
          <w:sz w:val="32"/>
        </w:rPr>
        <w:t>绩效工资、机关事业单位基本养老保险缴费、职业年金缴费、职工基本医疗保险缴费、其他社会保障缴费、</w:t>
      </w:r>
      <w:r>
        <w:rPr>
          <w:rFonts w:hint="eastAsia" w:ascii="仿宋_GB2312" w:hAnsi="仿宋_GB2312" w:eastAsia="仿宋_GB2312"/>
          <w:kern w:val="2"/>
          <w:sz w:val="32"/>
          <w:lang w:val="en-US" w:eastAsia="zh-CN"/>
        </w:rPr>
        <w:t>住房公积金</w:t>
      </w:r>
      <w:r>
        <w:rPr>
          <w:rFonts w:hint="eastAsia" w:ascii="仿宋_GB2312" w:hAnsi="仿宋_GB2312" w:eastAsia="仿宋_GB2312"/>
          <w:kern w:val="2"/>
          <w:sz w:val="32"/>
          <w:lang w:eastAsia="zh-CN"/>
        </w:rPr>
        <w:t>、</w:t>
      </w:r>
      <w:r>
        <w:rPr>
          <w:rFonts w:hint="eastAsia" w:ascii="仿宋_GB2312" w:hAnsi="仿宋_GB2312" w:eastAsia="仿宋_GB2312"/>
          <w:kern w:val="2"/>
          <w:sz w:val="32"/>
        </w:rPr>
        <w:t>其他工资福利支出、离休费、退休费</w:t>
      </w:r>
      <w:r>
        <w:rPr>
          <w:rFonts w:hint="eastAsia" w:ascii="仿宋_GB2312" w:hAnsi="仿宋_GB2312" w:eastAsia="仿宋_GB2312"/>
          <w:kern w:val="2"/>
          <w:sz w:val="32"/>
          <w:lang w:val="en-US" w:eastAsia="zh-CN"/>
        </w:rPr>
        <w:t>等</w:t>
      </w:r>
      <w:r>
        <w:rPr>
          <w:rFonts w:hint="eastAsia" w:ascii="仿宋_GB2312" w:hAnsi="仿宋_GB2312" w:eastAsia="仿宋_GB2312"/>
          <w:kern w:val="2"/>
          <w:sz w:val="32"/>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w:t>
      </w:r>
      <w:r>
        <w:rPr>
          <w:rFonts w:hint="eastAsia" w:ascii="仿宋_GB2312" w:hAnsi="仿宋_GB2312" w:eastAsia="仿宋_GB2312"/>
          <w:kern w:val="2"/>
          <w:sz w:val="32"/>
        </w:rPr>
        <w:t xml:space="preserve"> </w:t>
      </w:r>
      <w:r>
        <w:rPr>
          <w:rFonts w:hint="eastAsia" w:ascii="仿宋_GB2312" w:hAnsi="仿宋_GB2312" w:eastAsia="仿宋_GB2312"/>
          <w:b/>
          <w:bCs/>
          <w:kern w:val="2"/>
          <w:sz w:val="32"/>
        </w:rPr>
        <w:t>（二）公用经费 348.86万元。</w:t>
      </w:r>
      <w:r>
        <w:rPr>
          <w:rFonts w:hint="eastAsia" w:ascii="仿宋_GB2312" w:hAnsi="仿宋_GB2312" w:eastAsia="仿宋_GB2312"/>
          <w:kern w:val="2"/>
          <w:sz w:val="32"/>
        </w:rPr>
        <w:t>主要包括：办公费、手续费、水费、电费、取暖费、差旅费、维修（护）费、培训费、公务接待费、专用材料费、劳务费、工会经费、福利费、公务用车运行维护费、其他交通费用、其他商品和服务支出、办公设备购置</w:t>
      </w:r>
      <w:r>
        <w:rPr>
          <w:rFonts w:hint="eastAsia" w:ascii="仿宋_GB2312" w:hAnsi="仿宋_GB2312" w:eastAsia="仿宋_GB2312"/>
          <w:kern w:val="2"/>
          <w:sz w:val="32"/>
          <w:lang w:val="en-US" w:eastAsia="zh-CN"/>
        </w:rPr>
        <w:t>等</w:t>
      </w:r>
      <w:r>
        <w:rPr>
          <w:rFonts w:hint="eastAsia" w:ascii="仿宋_GB2312" w:hAnsi="仿宋_GB2312" w:eastAsia="仿宋_GB2312"/>
          <w:kern w:val="2"/>
          <w:sz w:val="32"/>
        </w:rPr>
        <w:t>。</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七、一般公共预算财政拨款项目支出决算情况说明</w:t>
      </w:r>
    </w:p>
    <w:p>
      <w:pPr>
        <w:widowControl/>
        <w:spacing w:before="240" w:after="240"/>
        <w:rPr>
          <w:rFonts w:hint="eastAsia" w:ascii="仿宋_GB2312" w:hAnsi="仿宋_GB2312" w:eastAsia="仿宋_GB2312"/>
          <w:kern w:val="2"/>
          <w:sz w:val="32"/>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中共乌海市纪律检查委员会 2023年度一般公共预算财政拨款项目支出决算 7,016.40万元，其中：</w:t>
      </w:r>
    </w:p>
    <w:p>
      <w:pPr>
        <w:spacing w:beforeLines="0" w:afterLines="0" w:line="560" w:lineRule="exact"/>
        <w:ind w:firstLine="643"/>
        <w:jc w:val="both"/>
        <w:rPr>
          <w:rFonts w:hint="eastAsia" w:ascii="仿宋_GB2312" w:hAnsi="仿宋_GB2312" w:eastAsia="仿宋_GB2312"/>
          <w:kern w:val="2"/>
          <w:sz w:val="32"/>
        </w:rPr>
      </w:pPr>
      <w:r>
        <w:rPr>
          <w:rFonts w:hint="eastAsia" w:ascii="仿宋_GB2312" w:hAnsi="仿宋_GB2312" w:eastAsia="仿宋_GB2312"/>
          <w:b/>
          <w:bCs/>
          <w:kern w:val="2"/>
          <w:sz w:val="32"/>
        </w:rPr>
        <w:t>（一）工资福利支出 997.24万元。</w:t>
      </w:r>
      <w:r>
        <w:rPr>
          <w:rFonts w:hint="eastAsia" w:ascii="仿宋_GB2312" w:hAnsi="仿宋_GB2312" w:eastAsia="仿宋_GB2312"/>
          <w:color w:val="000000"/>
          <w:kern w:val="2"/>
          <w:sz w:val="32"/>
        </w:rPr>
        <w:t>主要包括：津贴补贴、其他工资福利支出。</w:t>
      </w:r>
    </w:p>
    <w:p>
      <w:pPr>
        <w:spacing w:beforeLines="0" w:afterLines="0" w:line="560" w:lineRule="exact"/>
        <w:ind w:firstLine="643" w:firstLineChars="200"/>
        <w:jc w:val="both"/>
        <w:rPr>
          <w:rFonts w:hint="eastAsia" w:ascii="仿宋_GB2312" w:hAnsi="仿宋_GB2312" w:eastAsia="仿宋_GB2312"/>
          <w:color w:val="000000"/>
          <w:kern w:val="2"/>
          <w:sz w:val="32"/>
        </w:rPr>
      </w:pPr>
      <w:r>
        <w:rPr>
          <w:rFonts w:hint="eastAsia" w:ascii="仿宋_GB2312" w:hAnsi="仿宋_GB2312" w:eastAsia="仿宋_GB2312"/>
          <w:b/>
          <w:bCs/>
          <w:kern w:val="2"/>
          <w:sz w:val="32"/>
        </w:rPr>
        <w:t>（二）商品和服务支出 1,000.23万元。</w:t>
      </w:r>
      <w:r>
        <w:rPr>
          <w:rFonts w:hint="eastAsia" w:ascii="仿宋_GB2312" w:hAnsi="仿宋_GB2312" w:eastAsia="仿宋_GB2312"/>
          <w:kern w:val="2"/>
          <w:sz w:val="32"/>
        </w:rPr>
        <w:t>主要包括：</w:t>
      </w:r>
      <w:r>
        <w:rPr>
          <w:rFonts w:hint="eastAsia" w:ascii="仿宋_GB2312" w:hAnsi="仿宋_GB2312" w:eastAsia="仿宋_GB2312"/>
          <w:color w:val="000000"/>
          <w:kern w:val="2"/>
          <w:sz w:val="32"/>
        </w:rPr>
        <w:t>办公费、印刷费、水费、电费、邮电费、物业管理费、差旅费、维修（护）费、租赁费、专用材料费、劳务费、其他交通费</w:t>
      </w:r>
      <w:r>
        <w:rPr>
          <w:rFonts w:hint="eastAsia" w:ascii="仿宋_GB2312" w:hAnsi="仿宋_GB2312" w:eastAsia="仿宋_GB2312"/>
          <w:color w:val="000000"/>
          <w:kern w:val="2"/>
          <w:sz w:val="32"/>
          <w:lang w:val="en-US" w:eastAsia="zh-CN"/>
        </w:rPr>
        <w:t>用等</w:t>
      </w:r>
      <w:r>
        <w:rPr>
          <w:rFonts w:hint="eastAsia" w:ascii="仿宋_GB2312" w:hAnsi="仿宋_GB2312" w:eastAsia="仿宋_GB2312"/>
          <w:color w:val="000000"/>
          <w:kern w:val="2"/>
          <w:sz w:val="32"/>
        </w:rPr>
        <w:t xml:space="preserve">。 </w:t>
      </w:r>
    </w:p>
    <w:p>
      <w:pPr>
        <w:pStyle w:val="2"/>
        <w:spacing w:beforeLines="0" w:afterLines="0"/>
        <w:ind w:left="0" w:leftChars="0" w:firstLine="643" w:firstLineChars="200"/>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bCs/>
          <w:kern w:val="2"/>
          <w:sz w:val="32"/>
          <w:szCs w:val="24"/>
          <w:lang w:val="en-US" w:eastAsia="zh-CN" w:bidi="ar-SA"/>
        </w:rPr>
        <w:t>（三）资本性支出（基本建设）380.54万元。</w:t>
      </w:r>
      <w:r>
        <w:rPr>
          <w:rFonts w:hint="eastAsia" w:ascii="仿宋_GB2312" w:hAnsi="仿宋_GB2312" w:eastAsia="仿宋_GB2312" w:cs="Times New Roman"/>
          <w:b w:val="0"/>
          <w:color w:val="000000"/>
          <w:kern w:val="2"/>
          <w:sz w:val="32"/>
          <w:szCs w:val="24"/>
          <w:lang w:val="en-US" w:eastAsia="zh-CN" w:bidi="ar-SA"/>
        </w:rPr>
        <w:t>主要包括：房屋建筑物购建。</w:t>
      </w:r>
    </w:p>
    <w:p>
      <w:pPr>
        <w:pStyle w:val="2"/>
        <w:ind w:left="0" w:leftChars="0" w:firstLine="643" w:firstLineChars="200"/>
        <w:rPr>
          <w:rFonts w:ascii="Times New Roman" w:hAnsi="Times New Roman" w:eastAsia="Times New Roman" w:cs="Times New Roman"/>
          <w:kern w:val="0"/>
          <w:sz w:val="24"/>
        </w:rPr>
      </w:pPr>
      <w:r>
        <w:rPr>
          <w:rFonts w:hint="eastAsia" w:ascii="仿宋_GB2312" w:hAnsi="仿宋_GB2312" w:eastAsia="仿宋_GB2312" w:cs="Times New Roman"/>
          <w:b/>
          <w:bCs/>
          <w:kern w:val="2"/>
          <w:sz w:val="32"/>
          <w:szCs w:val="24"/>
          <w:lang w:val="en-US" w:eastAsia="zh-CN" w:bidi="ar-SA"/>
        </w:rPr>
        <w:t>（四）资本性支出</w:t>
      </w:r>
      <w:r>
        <w:rPr>
          <w:rFonts w:hint="eastAsia" w:ascii="仿宋_GB2312" w:hAnsi="仿宋_GB2312" w:cs="Times New Roman"/>
          <w:b/>
          <w:bCs/>
          <w:kern w:val="2"/>
          <w:sz w:val="32"/>
          <w:szCs w:val="24"/>
          <w:lang w:val="en-US" w:eastAsia="zh-CN" w:bidi="ar-SA"/>
        </w:rPr>
        <w:t>4638.39</w:t>
      </w:r>
      <w:r>
        <w:rPr>
          <w:rFonts w:hint="eastAsia" w:ascii="仿宋_GB2312" w:hAnsi="仿宋_GB2312" w:eastAsia="仿宋_GB2312" w:cs="Times New Roman"/>
          <w:b/>
          <w:bCs/>
          <w:kern w:val="2"/>
          <w:sz w:val="32"/>
          <w:szCs w:val="24"/>
          <w:lang w:val="en-US" w:eastAsia="zh-CN" w:bidi="ar-SA"/>
        </w:rPr>
        <w:t>万元。</w:t>
      </w:r>
      <w:r>
        <w:rPr>
          <w:rFonts w:hint="eastAsia" w:ascii="仿宋_GB2312" w:hAnsi="仿宋_GB2312" w:eastAsia="仿宋_GB2312" w:cs="Times New Roman"/>
          <w:b w:val="0"/>
          <w:color w:val="000000"/>
          <w:kern w:val="2"/>
          <w:sz w:val="32"/>
          <w:szCs w:val="24"/>
          <w:lang w:val="en-US" w:eastAsia="zh-CN" w:bidi="ar-SA"/>
        </w:rPr>
        <w:t>主要包括：房屋建筑物购建、办公设备购置、</w:t>
      </w:r>
      <w:r>
        <w:rPr>
          <w:rFonts w:hint="eastAsia" w:ascii="仿宋_GB2312" w:hAnsi="仿宋_GB2312" w:cs="Times New Roman"/>
          <w:b w:val="0"/>
          <w:color w:val="000000"/>
          <w:kern w:val="2"/>
          <w:sz w:val="32"/>
          <w:szCs w:val="24"/>
          <w:lang w:val="en-US" w:eastAsia="zh-CN" w:bidi="ar-SA"/>
        </w:rPr>
        <w:t>专用设备购置</w:t>
      </w:r>
      <w:r>
        <w:rPr>
          <w:rFonts w:hint="eastAsia" w:ascii="仿宋_GB2312" w:hAnsi="仿宋_GB2312" w:eastAsia="仿宋_GB2312" w:cs="Times New Roman"/>
          <w:b w:val="0"/>
          <w:color w:val="000000"/>
          <w:kern w:val="2"/>
          <w:sz w:val="32"/>
          <w:szCs w:val="24"/>
          <w:lang w:val="en-US" w:eastAsia="zh-CN" w:bidi="ar-SA"/>
        </w:rPr>
        <w:t>。</w:t>
      </w:r>
    </w:p>
    <w:p>
      <w:pPr>
        <w:widowControl/>
        <w:spacing w:before="240" w:after="240"/>
        <w:jc w:val="left"/>
        <w:rPr>
          <w:rFonts w:hint="eastAsia" w:ascii="黑体" w:hAnsi="黑体" w:eastAsia="黑体" w:cs="黑体"/>
          <w:b/>
          <w:bCs/>
          <w:kern w:val="0"/>
          <w:sz w:val="27"/>
          <w:szCs w:val="27"/>
          <w:lang w:val="en-US" w:eastAsia="zh-CN"/>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方正小标宋简体" w:hAnsi="方正小标宋简体" w:eastAsia="方正小标宋简体" w:cs="方正小标宋简体"/>
          <w:b w:val="0"/>
          <w:bCs w:val="0"/>
          <w:kern w:val="0"/>
          <w:sz w:val="32"/>
          <w:szCs w:val="32"/>
          <w:lang w:val="en-US" w:eastAsia="zh-CN"/>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方正小标宋简体" w:hAnsi="方正小标宋简体" w:eastAsia="方正小标宋简体" w:cs="方正小标宋简体"/>
          <w:b w:val="0"/>
          <w:bCs w:val="0"/>
          <w:kern w:val="0"/>
          <w:sz w:val="32"/>
          <w:szCs w:val="32"/>
        </w:rPr>
        <w:t> </w:t>
      </w:r>
      <w:r>
        <w:rPr>
          <w:rFonts w:hint="eastAsia" w:ascii="方正小标宋简体" w:hAnsi="方正小标宋简体" w:eastAsia="方正小标宋简体" w:cs="方正小标宋简体"/>
          <w:b w:val="0"/>
          <w:bCs w:val="0"/>
          <w:kern w:val="0"/>
          <w:sz w:val="32"/>
          <w:szCs w:val="32"/>
          <w:lang w:val="en-US" w:eastAsia="zh-CN"/>
        </w:rPr>
        <w:t xml:space="preserve"> </w:t>
      </w:r>
      <w:r>
        <w:rPr>
          <w:rFonts w:hint="eastAsia" w:ascii="仿宋_GB2312" w:hAnsi="仿宋_GB2312" w:eastAsia="仿宋_GB2312" w:cs="Times New Roman"/>
          <w:b/>
          <w:bCs/>
          <w:kern w:val="2"/>
          <w:sz w:val="32"/>
          <w:szCs w:val="24"/>
          <w:lang w:val="en-US" w:eastAsia="zh-CN" w:bidi="ar-SA"/>
        </w:rPr>
        <w:t>（一）财政拨款“三公”经费支出总体情况说明。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_GB2312" w:hAnsi="仿宋_GB2312" w:eastAsia="仿宋_GB2312" w:cs="Times New Roman"/>
          <w:b w:val="0"/>
          <w:color w:val="000000"/>
          <w:kern w:val="2"/>
          <w:sz w:val="32"/>
          <w:szCs w:val="24"/>
          <w:lang w:val="en-US" w:eastAsia="zh-CN" w:bidi="ar-SA"/>
        </w:rPr>
        <w:t xml:space="preserve"> 中共乌海市纪律检查委员会 2023年度财政拨款“三公”经费全年预算 51.46万元，支出决算 24.41万元，完成预算的 47.43%。其中：因公出国（境）费全年预算 0.00万元，支出决算 0.00万元，完成预算的 0%；公务用车购置及运行维护费全年预算 41.46万元，支出决算 22.39万元，完成预算的 53.99%；公务接待费全年预算 10.00万元，支出决算 2.02万元，完成预算的 20.24%。2023年度一般公共预算财政拨款“三公”经费支出决算与预算差异原因：一是在公务用车购置及运行维护费方面，我单位加强公务用车管理，合理减少相关费用的支出；二是在公务接待方面，落实《党政机关厉行节约反对浪费条例》《党政机关国内公务接待管理规定》《单位局机关公务接待管理办法》等相关规定。</w:t>
      </w:r>
    </w:p>
    <w:p>
      <w:pPr>
        <w:widowControl/>
        <w:spacing w:before="240" w:after="240"/>
        <w:rPr>
          <w:rFonts w:hint="eastAsia" w:ascii="方正小标宋简体" w:hAnsi="方正小标宋简体" w:eastAsia="方正小标宋简体" w:cs="方正小标宋简体"/>
          <w:b w:val="0"/>
          <w:bCs w:val="0"/>
          <w:kern w:val="0"/>
          <w:sz w:val="32"/>
          <w:szCs w:val="32"/>
          <w:lang w:val="en-US" w:eastAsia="zh-CN"/>
        </w:rPr>
      </w:pPr>
      <w:r>
        <w:rPr>
          <w:rFonts w:hint="eastAsia" w:ascii="方正小标宋简体" w:hAnsi="方正小标宋简体" w:eastAsia="方正小标宋简体" w:cs="方正小标宋简体"/>
          <w:b w:val="0"/>
          <w:bCs w:val="0"/>
          <w:kern w:val="0"/>
          <w:sz w:val="32"/>
          <w:szCs w:val="32"/>
        </w:rPr>
        <w:t xml:space="preserve">    </w:t>
      </w:r>
      <w:r>
        <w:rPr>
          <w:rFonts w:hint="eastAsia" w:ascii="方正小标宋简体" w:hAnsi="方正小标宋简体" w:eastAsia="方正小标宋简体" w:cs="方正小标宋简体"/>
          <w:b w:val="0"/>
          <w:bCs w:val="0"/>
          <w:kern w:val="0"/>
          <w:sz w:val="32"/>
          <w:szCs w:val="32"/>
          <w:lang w:val="en-US" w:eastAsia="zh-CN"/>
        </w:rPr>
        <w:t>（二）财政拨款“三公”经费支出具体情况说明。</w:t>
      </w:r>
    </w:p>
    <w:p>
      <w:pPr>
        <w:widowControl/>
        <w:spacing w:before="240" w:after="240"/>
        <w:rPr>
          <w:rFonts w:hint="eastAsia" w:ascii="仿宋_GB2312" w:hAnsi="仿宋_GB2312" w:eastAsia="仿宋_GB2312" w:cs="Times New Roman"/>
          <w:b w:val="0"/>
          <w:color w:val="000000"/>
          <w:kern w:val="2"/>
          <w:sz w:val="32"/>
          <w:szCs w:val="24"/>
          <w:lang w:val="en-US" w:eastAsia="zh-CN" w:bidi="ar-SA"/>
        </w:rPr>
      </w:pPr>
      <w:r>
        <w:rPr>
          <w:rFonts w:ascii="fang_song_gb2312" w:hAnsi="fang_song_gb2312" w:eastAsia="fang_song_gb2312" w:cs="fang_song_gb2312"/>
          <w:kern w:val="0"/>
          <w:sz w:val="27"/>
          <w:szCs w:val="27"/>
        </w:rPr>
        <w:t>   </w:t>
      </w:r>
      <w:r>
        <w:rPr>
          <w:rFonts w:hint="eastAsia" w:ascii="仿宋_GB2312" w:hAnsi="仿宋_GB2312" w:eastAsia="仿宋_GB2312" w:cs="Times New Roman"/>
          <w:b w:val="0"/>
          <w:color w:val="000000"/>
          <w:kern w:val="2"/>
          <w:sz w:val="32"/>
          <w:szCs w:val="24"/>
          <w:lang w:val="en-US" w:eastAsia="zh-CN" w:bidi="ar-SA"/>
        </w:rPr>
        <w:t xml:space="preserve"> 中共乌海市纪律检查委员会 2023年度财政拨款“三公”经费支出 24.41万元。因公出国（境）费支出 0.00万元，占 0.00%；公务用车购置及运行维护费支出 22.39万元，占 91.71%；公务接待费支出 2.02万元，占 8.29%。其中：</w:t>
      </w:r>
    </w:p>
    <w:p>
      <w:pPr>
        <w:widowControl/>
        <w:spacing w:before="240" w:after="240"/>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1.因公出国（境）费支出 0.00万元，全年出国（境）团组0 个，累计0 人次。与上年决算相比，增加0.00万元，增长0%，变动原因：我单位2023年不存在此项内容。</w:t>
      </w:r>
    </w:p>
    <w:p>
      <w:pPr>
        <w:widowControl/>
        <w:spacing w:before="240" w:after="240"/>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2.公务用车购置及运行维护费支出 22.39万元。其中：</w:t>
      </w:r>
    </w:p>
    <w:p>
      <w:pPr>
        <w:widowControl/>
        <w:spacing w:before="240" w:after="240"/>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（1）公务用车购置支出 0.00万元。本年度使用财政拨款购置公务用车0 辆，开支内容：我单位2023年不存在此项内容。与上年决算相比，减少25.99万元，减少100.00%，变动原因：我单位2023年未购置公务用车。</w:t>
      </w:r>
    </w:p>
    <w:p>
      <w:pPr>
        <w:widowControl/>
        <w:spacing w:before="240" w:after="240"/>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（2）公务用车运行维护费支出 22.39万元。公务用车运行维护费主要用于按规定保留的公务用车的燃料费、维修费、过桥过路费、保险费、安全奖励费用等支出。截至2023年12月31日，使用财政拨款开支的公务用车保有量为11 辆。与上年决算相比，减少9.17万元，减少29.06%，变动原因：我单位加强公务用车管理，合理减少相关费用的支出。</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仿宋_GB2312" w:hAnsi="仿宋_GB2312" w:eastAsia="仿宋_GB2312" w:cs="Times New Roman"/>
          <w:b w:val="0"/>
          <w:color w:val="000000"/>
          <w:kern w:val="2"/>
          <w:sz w:val="32"/>
          <w:szCs w:val="24"/>
          <w:lang w:val="en-US" w:eastAsia="zh-CN" w:bidi="ar-SA"/>
        </w:rPr>
        <w:t>    3.公务接待费支出 2.02万元。其中：国内公务接待支出 2.02万元，接待29 批次，172 人次，开支内容：</w:t>
      </w:r>
      <w:r>
        <w:rPr>
          <w:rFonts w:hint="eastAsia" w:ascii="仿宋_GB2312" w:hAnsi="仿宋_GB2312" w:eastAsia="仿宋_GB2312"/>
          <w:kern w:val="2"/>
          <w:sz w:val="32"/>
        </w:rPr>
        <w:t>用于与其他单位</w:t>
      </w:r>
      <w:r>
        <w:rPr>
          <w:rFonts w:hint="eastAsia" w:ascii="仿宋_GB2312" w:hAnsi="仿宋_GB2312" w:eastAsia="仿宋_GB2312"/>
          <w:kern w:val="2"/>
          <w:sz w:val="32"/>
          <w:lang w:val="en-US" w:eastAsia="zh-CN"/>
        </w:rPr>
        <w:t>间</w:t>
      </w:r>
      <w:r>
        <w:rPr>
          <w:rFonts w:hint="eastAsia" w:ascii="仿宋_GB2312" w:hAnsi="仿宋_GB2312" w:eastAsia="仿宋_GB2312"/>
          <w:kern w:val="2"/>
          <w:sz w:val="32"/>
        </w:rPr>
        <w:t>的学习交流来函接待及上级部门或各纪委部门来我单位开展相关工作</w:t>
      </w:r>
      <w:r>
        <w:rPr>
          <w:rFonts w:hint="eastAsia" w:ascii="仿宋_GB2312" w:hAnsi="仿宋_GB2312" w:eastAsia="仿宋_GB2312" w:cs="Times New Roman"/>
          <w:b w:val="0"/>
          <w:color w:val="000000"/>
          <w:kern w:val="2"/>
          <w:sz w:val="32"/>
          <w:szCs w:val="24"/>
          <w:lang w:val="en-US" w:eastAsia="zh-CN" w:bidi="ar-SA"/>
        </w:rPr>
        <w:t>；国（境）外公务接待支出 0.00万元，接待0 批次，0 人次，开支内容：我单位2023年不涉及此项业务。与上年决算相比，增加1.03万元，增长102.94%，变动原因：2022年因疫情影响公务接待较少，2023年恢复工作，公务接待有所增加。</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中共乌海市纪律检查委员会 2023年度政府性基金预算财政拨款支出决算 0.00万元。与上年决算相比，增加0.00万元，增长</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%，变动原因：本部门无政府性基金预算财政拨款收、支、余。</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hint="eastAsia" w:ascii="方正小标宋简体" w:hAnsi="方正小标宋简体" w:eastAsia="方正小标宋简体" w:cs="方正小标宋简体"/>
          <w:b w:val="0"/>
          <w:bCs w:val="0"/>
          <w:kern w:val="0"/>
          <w:sz w:val="32"/>
          <w:szCs w:val="32"/>
        </w:rPr>
        <w:t>十、国有资本经营预算财政拨款支出决算情况说明</w:t>
      </w:r>
    </w:p>
    <w:p>
      <w:pPr>
        <w:widowControl/>
        <w:spacing w:before="240" w:after="240"/>
        <w:rPr>
          <w:rFonts w:hint="eastAsia" w:ascii="仿宋_GB2312" w:hAnsi="仿宋_GB2312" w:eastAsia="仿宋_GB2312"/>
          <w:kern w:val="2"/>
          <w:sz w:val="32"/>
          <w:lang w:val="en-US" w:eastAsia="zh-CN"/>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中共乌海市纪律检查委员会 2023年度国有资本经营预算财政拨款支出决算 0.00万元。与上年决算相比，增加0.00万元，增长</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%，变动原因：本部门无政府性基金预算财政拨款收、支、余。</w:t>
      </w:r>
      <w:r>
        <w:rPr>
          <w:rFonts w:hint="eastAsia" w:ascii="仿宋_GB2312" w:hAnsi="仿宋_GB2312" w:eastAsia="仿宋_GB2312"/>
          <w:kern w:val="2"/>
          <w:sz w:val="32"/>
          <w:lang w:val="en-US" w:eastAsia="zh-CN"/>
        </w:rPr>
        <w:t xml:space="preserve"> </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仿宋_GB2312" w:hAnsi="仿宋_GB2312" w:eastAsia="仿宋_GB2312"/>
          <w:kern w:val="2"/>
          <w:sz w:val="32"/>
        </w:rPr>
        <w:t xml:space="preserve"> 中共乌海市纪律检查委员会 2023年度机构运行经费支出决算 348.86万元。比上年决算相比，增加82.93万元，增长 31.19%，变动原因：</w:t>
      </w:r>
      <w:r>
        <w:rPr>
          <w:rFonts w:hint="eastAsia" w:ascii="仿宋_GB2312" w:hAnsi="仿宋_GB2312" w:eastAsia="仿宋_GB2312"/>
          <w:kern w:val="2"/>
          <w:sz w:val="32"/>
          <w:lang w:val="en-US" w:eastAsia="zh-CN"/>
        </w:rPr>
        <w:t>2</w:t>
      </w:r>
      <w:r>
        <w:rPr>
          <w:rFonts w:hint="eastAsia" w:ascii="仿宋_GB2312" w:hAnsi="仿宋_GB2312" w:eastAsia="仿宋_GB2312" w:cs="Times New Roman"/>
          <w:b w:val="0"/>
          <w:color w:val="000000"/>
          <w:kern w:val="2"/>
          <w:sz w:val="32"/>
          <w:szCs w:val="24"/>
          <w:lang w:val="en-US" w:eastAsia="zh-CN" w:bidi="ar-SA"/>
        </w:rPr>
        <w:t>022年因疫情影响公务接待较少，2023年恢复工作，机构运行经费支出增加</w:t>
      </w:r>
      <w:r>
        <w:rPr>
          <w:rFonts w:hint="eastAsia" w:ascii="仿宋_GB2312" w:hAnsi="仿宋_GB2312" w:eastAsia="仿宋_GB2312"/>
          <w:kern w:val="2"/>
          <w:sz w:val="32"/>
        </w:rPr>
        <w:t>。</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  中共乌海市纪律检查委员会 2023年度政府采购支出总额 0.00万元，其中：政府采购货物支出 0.00万元、政府采购工程支出 0.00万元、政府采购服务支出 0.00万元。政府采购授予中小企业合同金额 0.00万元，占政府采购支出总额的</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%，其中：授予小微企业合同金额  0.00万元，占政府采购支出总额的</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%；货物采购授予中小企业合同金额占货物支出金额的</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%，工程采购授予中小企业合同金额占工程支出金额的</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%，服务采购授予中小企业合同金额占服务支出金额的</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w:t>
      </w:r>
    </w:p>
    <w:p>
      <w:pPr>
        <w:widowControl/>
        <w:spacing w:before="240" w:after="24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    十三、国有资产占用情况说明</w:t>
      </w:r>
    </w:p>
    <w:p>
      <w:pPr>
        <w:widowControl/>
        <w:spacing w:before="240" w:after="240"/>
        <w:rPr>
          <w:rFonts w:hint="eastAsia" w:ascii="仿宋_GB2312" w:hAnsi="仿宋_GB2312" w:eastAsia="仿宋_GB2312"/>
          <w:kern w:val="2"/>
          <w:sz w:val="32"/>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kern w:val="2"/>
          <w:sz w:val="32"/>
        </w:rPr>
        <w:t>中共乌海市纪律检查委员会 截至2023年12月31日，本部门（单位）共有车辆 11辆，其中：副部（省）级及以上领导用车0 辆、主要负责人用车 0辆、机要通信用车 1辆、应急保障用车 0辆、执法执勤用车 10辆、特种专业技术用车 0辆、离退休干部服务用车 0辆，其他用车 0辆；单价100万元（含）以上的设备（不含车辆） 0台（套）。</w:t>
      </w:r>
    </w:p>
    <w:p>
      <w:pPr>
        <w:widowControl/>
        <w:spacing w:before="240" w:after="240"/>
        <w:jc w:val="left"/>
        <w:rPr>
          <w:rFonts w:ascii="Calibri" w:hAnsi="Calibri" w:eastAsia="Calibri" w:cs="Calibri"/>
          <w:b/>
          <w:bCs/>
          <w:kern w:val="0"/>
          <w:sz w:val="27"/>
          <w:szCs w:val="27"/>
        </w:rPr>
      </w:pPr>
      <w:r>
        <w:rPr>
          <w:rFonts w:ascii="Calibri" w:hAnsi="Calibri" w:eastAsia="Calibri" w:cs="Calibri"/>
          <w:b/>
          <w:bCs/>
          <w:kern w:val="0"/>
          <w:sz w:val="27"/>
          <w:szCs w:val="27"/>
        </w:rPr>
        <w:t>   </w:t>
      </w:r>
      <w:r>
        <w:rPr>
          <w:rFonts w:hint="eastAsia" w:ascii="方正小标宋简体" w:hAnsi="方正小标宋简体" w:eastAsia="方正小标宋简体" w:cs="方正小标宋简体"/>
          <w:b w:val="0"/>
          <w:bCs w:val="0"/>
          <w:kern w:val="0"/>
          <w:sz w:val="32"/>
          <w:szCs w:val="32"/>
        </w:rPr>
        <w:t xml:space="preserve"> 十四、预算绩效情况说明</w:t>
      </w:r>
    </w:p>
    <w:p>
      <w:pPr>
        <w:widowControl/>
        <w:spacing w:before="240" w:after="240"/>
        <w:rPr>
          <w:rFonts w:hint="eastAsia" w:ascii="仿宋_GB2312" w:hAnsi="仿宋_GB2312" w:eastAsia="仿宋_GB2312"/>
          <w:b/>
          <w:bCs/>
          <w:kern w:val="2"/>
          <w:sz w:val="32"/>
        </w:rPr>
      </w:pPr>
      <w:r>
        <w:rPr>
          <w:rFonts w:hint="eastAsia" w:ascii="仿宋_GB2312" w:hAnsi="仿宋_GB2312" w:eastAsia="仿宋_GB2312"/>
          <w:b/>
          <w:bCs/>
          <w:kern w:val="2"/>
          <w:sz w:val="32"/>
        </w:rPr>
        <w:t xml:space="preserve">    </w:t>
      </w:r>
      <w:r>
        <w:rPr>
          <w:rFonts w:hint="eastAsia" w:ascii="方正小标宋简体" w:hAnsi="方正小标宋简体" w:eastAsia="方正小标宋简体" w:cs="方正小标宋简体"/>
          <w:b w:val="0"/>
          <w:bCs w:val="0"/>
          <w:kern w:val="0"/>
          <w:sz w:val="32"/>
          <w:szCs w:val="32"/>
        </w:rPr>
        <w:t>（一）预算绩效管理工作开展情况。</w:t>
      </w:r>
    </w:p>
    <w:p>
      <w:pPr>
        <w:widowControl/>
        <w:spacing w:before="240" w:after="240"/>
        <w:ind w:firstLine="640" w:firstLineChars="200"/>
        <w:rPr>
          <w:rFonts w:hint="eastAsia" w:ascii="仿宋_GB2312" w:hAnsi="仿宋_GB2312" w:eastAsia="仿宋_GB2312"/>
          <w:kern w:val="2"/>
          <w:sz w:val="32"/>
        </w:rPr>
      </w:pPr>
      <w:r>
        <w:rPr>
          <w:rFonts w:hint="eastAsia" w:ascii="仿宋_GB2312" w:hAnsi="仿宋_GB2312" w:eastAsia="仿宋_GB2312"/>
          <w:kern w:val="2"/>
          <w:sz w:val="32"/>
        </w:rPr>
        <w:t>中共乌海市纪律检查委员会 根据预算绩效管理要求组织对2023年一般公共预算项目支出全面开展绩效自评，其中一级项目</w:t>
      </w:r>
      <w:r>
        <w:rPr>
          <w:rFonts w:hint="eastAsia" w:ascii="仿宋_GB2312" w:hAnsi="仿宋_GB2312" w:eastAsia="仿宋_GB2312"/>
          <w:kern w:val="2"/>
          <w:sz w:val="32"/>
          <w:lang w:val="en-US" w:eastAsia="zh-CN"/>
        </w:rPr>
        <w:t>7</w:t>
      </w:r>
      <w:r>
        <w:rPr>
          <w:rFonts w:hint="eastAsia" w:ascii="仿宋_GB2312" w:hAnsi="仿宋_GB2312" w:eastAsia="仿宋_GB2312"/>
          <w:kern w:val="2"/>
          <w:sz w:val="32"/>
        </w:rPr>
        <w:t>个，二级项目</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个，共涉及资金</w:t>
      </w:r>
      <w:r>
        <w:rPr>
          <w:rFonts w:hint="eastAsia" w:ascii="仿宋_GB2312" w:hAnsi="仿宋_GB2312" w:eastAsia="仿宋_GB2312"/>
          <w:kern w:val="2"/>
          <w:sz w:val="32"/>
          <w:lang w:val="en-US" w:eastAsia="zh-CN"/>
        </w:rPr>
        <w:t>2560</w:t>
      </w:r>
      <w:r>
        <w:rPr>
          <w:rFonts w:hint="eastAsia" w:ascii="仿宋_GB2312" w:hAnsi="仿宋_GB2312" w:eastAsia="仿宋_GB2312"/>
          <w:kern w:val="2"/>
          <w:sz w:val="32"/>
        </w:rPr>
        <w:t>万元，占一般公共预算项目支出总额的100%；政府性基金预算项目</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个，其中，一级项目</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个，二级项目</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个，共涉及资金</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万元，占应纳入绩效自评的政府性基金预算项目支出总额的100%；</w:t>
      </w:r>
    </w:p>
    <w:p>
      <w:pPr>
        <w:widowControl/>
        <w:numPr>
          <w:ilvl w:val="0"/>
          <w:numId w:val="3"/>
        </w:numPr>
        <w:spacing w:before="240" w:after="240"/>
        <w:ind w:left="499" w:leftChars="0" w:firstLine="0" w:firstLineChars="0"/>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部门（单位）决算中项目绩效自评结果。</w:t>
      </w:r>
    </w:p>
    <w:p>
      <w:pPr>
        <w:widowControl/>
        <w:numPr>
          <w:ilvl w:val="0"/>
          <w:numId w:val="0"/>
        </w:numPr>
        <w:spacing w:before="240" w:after="240"/>
        <w:ind w:firstLine="640" w:firstLineChars="200"/>
        <w:rPr>
          <w:rFonts w:hint="eastAsia" w:ascii="仿宋_GB2312" w:hAnsi="仿宋_GB2312" w:eastAsia="仿宋_GB2312"/>
          <w:kern w:val="2"/>
          <w:sz w:val="32"/>
        </w:rPr>
      </w:pPr>
      <w:r>
        <w:rPr>
          <w:rFonts w:hint="eastAsia" w:ascii="仿宋_GB2312" w:hAnsi="仿宋_GB2312" w:eastAsia="仿宋_GB2312"/>
          <w:kern w:val="2"/>
          <w:sz w:val="32"/>
        </w:rPr>
        <w:t>中共乌海市纪律检查委员会 2023年度在决算中反映</w:t>
      </w:r>
      <w:r>
        <w:rPr>
          <w:rFonts w:hint="eastAsia" w:ascii="仿宋_GB2312" w:hAnsi="仿宋_GB2312" w:eastAsia="仿宋_GB2312"/>
          <w:kern w:val="2"/>
          <w:sz w:val="32"/>
          <w:lang w:val="en-US" w:eastAsia="zh-CN"/>
        </w:rPr>
        <w:t>5</w:t>
      </w:r>
      <w:r>
        <w:rPr>
          <w:rFonts w:hint="eastAsia" w:ascii="仿宋_GB2312" w:hAnsi="仿宋_GB2312" w:eastAsia="仿宋_GB2312"/>
          <w:kern w:val="2"/>
          <w:sz w:val="32"/>
        </w:rPr>
        <w:t>个一般公共预算项目，以及</w:t>
      </w:r>
      <w:r>
        <w:rPr>
          <w:rFonts w:hint="eastAsia" w:ascii="仿宋_GB2312" w:hAnsi="仿宋_GB2312" w:eastAsia="仿宋_GB2312"/>
          <w:kern w:val="2"/>
          <w:sz w:val="32"/>
          <w:lang w:val="en-US" w:eastAsia="zh-CN"/>
        </w:rPr>
        <w:t>0</w:t>
      </w:r>
      <w:r>
        <w:rPr>
          <w:rFonts w:hint="eastAsia" w:ascii="仿宋_GB2312" w:hAnsi="仿宋_GB2312" w:eastAsia="仿宋_GB2312"/>
          <w:kern w:val="2"/>
          <w:sz w:val="32"/>
        </w:rPr>
        <w:t>个政府性基金项目。</w:t>
      </w:r>
    </w:p>
    <w:p>
      <w:pPr>
        <w:widowControl/>
        <w:numPr>
          <w:ilvl w:val="0"/>
          <w:numId w:val="4"/>
        </w:numPr>
        <w:spacing w:before="240" w:after="240"/>
        <w:ind w:firstLine="640" w:firstLineChars="200"/>
        <w:rPr>
          <w:rFonts w:hint="eastAsia" w:ascii="仿宋_GB2312" w:hAnsi="仿宋_GB2312" w:eastAsia="仿宋_GB2312"/>
          <w:kern w:val="2"/>
          <w:sz w:val="32"/>
        </w:rPr>
      </w:pPr>
      <w:r>
        <w:rPr>
          <w:rFonts w:hint="eastAsia" w:ascii="仿宋_GB2312" w:hAnsi="仿宋_GB2312" w:eastAsia="仿宋_GB2312"/>
          <w:kern w:val="2"/>
          <w:sz w:val="32"/>
        </w:rPr>
        <w:t>纪检监察专案经费项目自评综述：根据年初设定的绩效目标，项目自评得分98.49分。全年预算数为</w:t>
      </w:r>
      <w:r>
        <w:rPr>
          <w:rFonts w:hint="eastAsia" w:ascii="仿宋_GB2312" w:hAnsi="仿宋_GB2312" w:eastAsia="仿宋_GB2312"/>
          <w:kern w:val="2"/>
          <w:sz w:val="32"/>
          <w:lang w:val="en-US" w:eastAsia="zh-CN"/>
        </w:rPr>
        <w:t>160</w:t>
      </w:r>
      <w:r>
        <w:rPr>
          <w:rFonts w:hint="eastAsia" w:ascii="仿宋_GB2312" w:hAnsi="仿宋_GB2312" w:eastAsia="仿宋_GB2312"/>
          <w:kern w:val="2"/>
          <w:sz w:val="32"/>
        </w:rPr>
        <w:t>0万元，执行数为1437.41万元，完成预算的</w:t>
      </w:r>
      <w:r>
        <w:rPr>
          <w:rFonts w:hint="eastAsia" w:ascii="仿宋_GB2312" w:hAnsi="仿宋_GB2312" w:eastAsia="仿宋_GB2312"/>
          <w:kern w:val="2"/>
          <w:sz w:val="32"/>
          <w:lang w:val="en-US" w:eastAsia="zh-CN"/>
        </w:rPr>
        <w:t>89.84</w:t>
      </w:r>
      <w:r>
        <w:rPr>
          <w:rFonts w:hint="eastAsia" w:ascii="仿宋_GB2312" w:hAnsi="仿宋_GB2312" w:eastAsia="仿宋_GB2312"/>
          <w:kern w:val="2"/>
          <w:sz w:val="32"/>
        </w:rPr>
        <w:t>%。项目绩效目标完成情况</w:t>
      </w:r>
      <w:r>
        <w:rPr>
          <w:rFonts w:hint="eastAsia" w:ascii="仿宋_GB2312" w:hAnsi="仿宋_GB2312" w:eastAsia="仿宋_GB2312"/>
          <w:kern w:val="2"/>
          <w:sz w:val="32"/>
          <w:lang w:eastAsia="zh-CN"/>
        </w:rPr>
        <w:t>：</w:t>
      </w:r>
      <w:r>
        <w:rPr>
          <w:rFonts w:hint="eastAsia" w:ascii="仿宋_GB2312" w:hAnsi="仿宋_GB2312" w:eastAsia="仿宋_GB2312"/>
          <w:kern w:val="2"/>
          <w:sz w:val="32"/>
        </w:rPr>
        <w:t>2023年度</w:t>
      </w:r>
      <w:r>
        <w:rPr>
          <w:rFonts w:hint="eastAsia" w:ascii="仿宋_GB2312" w:hAnsi="仿宋_GB2312" w:eastAsia="仿宋_GB2312"/>
          <w:kern w:val="2"/>
          <w:sz w:val="32"/>
          <w:lang w:val="en-US" w:eastAsia="zh-CN"/>
        </w:rPr>
        <w:t>以</w:t>
      </w:r>
      <w:r>
        <w:rPr>
          <w:rFonts w:hint="eastAsia" w:ascii="仿宋_GB2312" w:hAnsi="仿宋_GB2312" w:eastAsia="仿宋_GB2312"/>
          <w:kern w:val="2"/>
          <w:sz w:val="32"/>
        </w:rPr>
        <w:t>锲而不舍落实中央八项规定精神。纵深推进全面从严治党、党风廉政建设和反腐败斗争，坚持严管和厚爱相结合，正确运用“四种形态”批评教育帮助和处理×人次，持续深入推进反腐败斗争，依规依纪依法查办案件，坚决清除制约办好两件大事的各类障碍。发现的主要问题及原因：</w:t>
      </w:r>
      <w:r>
        <w:rPr>
          <w:rFonts w:hint="eastAsia" w:ascii="仿宋_GB2312" w:hAnsi="仿宋_GB2312" w:eastAsia="仿宋_GB2312"/>
          <w:kern w:val="2"/>
          <w:sz w:val="32"/>
          <w:lang w:val="en-US" w:eastAsia="zh-CN"/>
        </w:rPr>
        <w:t>项目预算不够细化、不够精准，征求各部室意见不充足，项目不能及时跟进政策变化。</w:t>
      </w:r>
      <w:r>
        <w:rPr>
          <w:rFonts w:hint="eastAsia" w:ascii="仿宋_GB2312" w:hAnsi="仿宋_GB2312" w:eastAsia="仿宋_GB2312"/>
          <w:kern w:val="2"/>
          <w:sz w:val="32"/>
        </w:rPr>
        <w:t>下一步改进措施：</w:t>
      </w:r>
      <w:r>
        <w:rPr>
          <w:rFonts w:hint="eastAsia" w:ascii="仿宋_GB2312" w:hAnsi="仿宋_GB2312" w:eastAsia="仿宋_GB2312"/>
          <w:kern w:val="2"/>
          <w:sz w:val="32"/>
          <w:lang w:val="en-US" w:eastAsia="zh-CN"/>
        </w:rPr>
        <w:t>进一步细化项目预算，减少项目内预算指标调整；充分征求各部室意见，协商确定预算方向和预算金额。</w:t>
      </w:r>
      <w:r>
        <w:rPr>
          <w:rFonts w:hint="eastAsia" w:ascii="仿宋_GB2312" w:hAnsi="仿宋_GB2312" w:eastAsia="仿宋_GB2312"/>
          <w:kern w:val="2"/>
          <w:sz w:val="32"/>
        </w:rPr>
        <w:t>支出资金使用过程中存在的问题和薄弱环节，督促落实整改计划和措施，确保内部控制体系的有效运行，确保资金安全、合法使用使资金拨付流程更加规范，在拨付依据上按照先有指标再有用款计划，按时间进度或项目进度进行拨付。</w:t>
      </w:r>
    </w:p>
    <w:tbl>
      <w:tblPr>
        <w:tblStyle w:val="21"/>
        <w:tblW w:w="9770" w:type="dxa"/>
        <w:tblInd w:w="0" w:type="dxa"/>
        <w:shd w:val="clear" w:color="auto" w:fill="auto"/>
        <w:tblLayout w:type="fixed"/>
        <w:tblCellMar>
          <w:top w:w="0" w:type="dxa"/>
          <w:left w:w="0" w:type="dxa"/>
          <w:bottom w:w="0" w:type="dxa"/>
          <w:right w:w="0" w:type="dxa"/>
        </w:tblCellMar>
      </w:tblPr>
      <w:tblGrid>
        <w:gridCol w:w="334"/>
        <w:gridCol w:w="334"/>
        <w:gridCol w:w="1024"/>
        <w:gridCol w:w="2141"/>
        <w:gridCol w:w="698"/>
        <w:gridCol w:w="652"/>
        <w:gridCol w:w="753"/>
        <w:gridCol w:w="866"/>
        <w:gridCol w:w="660"/>
        <w:gridCol w:w="441"/>
        <w:gridCol w:w="628"/>
        <w:gridCol w:w="1239"/>
      </w:tblGrid>
      <w:tr>
        <w:tblPrEx>
          <w:shd w:val="clear" w:color="auto" w:fill="auto"/>
          <w:tblLayout w:type="fixed"/>
          <w:tblCellMar>
            <w:top w:w="0" w:type="dxa"/>
            <w:left w:w="0" w:type="dxa"/>
            <w:bottom w:w="0" w:type="dxa"/>
            <w:right w:w="0" w:type="dxa"/>
          </w:tblCellMar>
        </w:tblPrEx>
        <w:trPr>
          <w:trHeight w:val="960" w:hRule="atLeast"/>
        </w:trPr>
        <w:tc>
          <w:tcPr>
            <w:tcW w:w="97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Layout w:type="fixed"/>
          <w:tblCellMar>
            <w:top w:w="0" w:type="dxa"/>
            <w:left w:w="0" w:type="dxa"/>
            <w:bottom w:w="0" w:type="dxa"/>
            <w:right w:w="0" w:type="dxa"/>
          </w:tblCellMar>
        </w:tblPrEx>
        <w:trPr>
          <w:trHeight w:val="380" w:hRule="atLeast"/>
        </w:trPr>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10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纪检监察专案经费</w:t>
            </w:r>
          </w:p>
        </w:tc>
      </w:tr>
      <w:tr>
        <w:tblPrEx>
          <w:tblLayout w:type="fixed"/>
          <w:tblCellMar>
            <w:top w:w="0" w:type="dxa"/>
            <w:left w:w="0" w:type="dxa"/>
            <w:bottom w:w="0" w:type="dxa"/>
            <w:right w:w="0" w:type="dxa"/>
          </w:tblCellMar>
        </w:tblPrEx>
        <w:trPr>
          <w:trHeight w:val="380" w:hRule="atLeast"/>
        </w:trPr>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51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中共乌海市纪律检查委员会（部门）</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w:t>
            </w:r>
          </w:p>
        </w:tc>
      </w:tr>
      <w:tr>
        <w:tblPrEx>
          <w:shd w:val="clear" w:color="auto" w:fill="auto"/>
          <w:tblLayout w:type="fixed"/>
          <w:tblCellMar>
            <w:top w:w="0" w:type="dxa"/>
            <w:left w:w="0" w:type="dxa"/>
            <w:bottom w:w="0" w:type="dxa"/>
            <w:right w:w="0" w:type="dxa"/>
          </w:tblCellMar>
        </w:tblPrEx>
        <w:trPr>
          <w:trHeight w:val="380" w:hRule="atLeast"/>
        </w:trPr>
        <w:tc>
          <w:tcPr>
            <w:tcW w:w="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Layout w:type="fixed"/>
          <w:tblCellMar>
            <w:top w:w="0" w:type="dxa"/>
            <w:left w:w="0" w:type="dxa"/>
            <w:bottom w:w="0" w:type="dxa"/>
            <w:right w:w="0" w:type="dxa"/>
          </w:tblCellMar>
        </w:tblPrEx>
        <w:trPr>
          <w:trHeight w:val="380" w:hRule="atLeast"/>
        </w:trPr>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1437.41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89.84</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w:t>
            </w:r>
          </w:p>
        </w:tc>
      </w:tr>
      <w:tr>
        <w:tblPrEx>
          <w:shd w:val="clear" w:color="auto" w:fill="auto"/>
          <w:tblLayout w:type="fixed"/>
          <w:tblCellMar>
            <w:top w:w="0" w:type="dxa"/>
            <w:left w:w="0" w:type="dxa"/>
            <w:bottom w:w="0" w:type="dxa"/>
            <w:right w:w="0" w:type="dxa"/>
          </w:tblCellMar>
        </w:tblPrEx>
        <w:trPr>
          <w:trHeight w:val="380" w:hRule="atLeast"/>
        </w:trPr>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1600.00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1437.41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89.84</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120" w:hRule="atLeast"/>
        </w:trPr>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6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狠抓八项规定精神落实，持之以恒纠正"四风 "加强纪律审查工作，坚决遏制腐败蔓延；切实加强基层党风廉政建设，坚决整治和查处侵害群众利益的不正之风和腐败问题，保障市纪委监委案件顺利开展。</w:t>
            </w:r>
          </w:p>
        </w:tc>
        <w:tc>
          <w:tcPr>
            <w:tcW w:w="3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完成市委、自治区纪交办的任务，加强本系统廉政监察工作；足额保障纪检监察专案经费足额发放和相关费用的支出。</w:t>
            </w:r>
          </w:p>
        </w:tc>
      </w:tr>
      <w:tr>
        <w:tblPrEx>
          <w:tblLayout w:type="fixed"/>
          <w:tblCellMar>
            <w:top w:w="0" w:type="dxa"/>
            <w:left w:w="0" w:type="dxa"/>
            <w:bottom w:w="0" w:type="dxa"/>
            <w:right w:w="0" w:type="dxa"/>
          </w:tblCellMar>
        </w:tblPrEx>
        <w:trPr>
          <w:trHeight w:val="450" w:hRule="atLeast"/>
        </w:trPr>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1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9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6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75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600" w:hRule="atLeast"/>
        </w:trPr>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保障就餐人数</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租用车辆数量</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辆</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参与专案人员差旅费</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食品安全事故率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保障租赁车辆费用按时结算率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保障工作人员外出差旅费按需结算率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出差人员补助发放及时率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租车费用支付及时率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涉案物品鉴定用支付及时率</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餐饮服务标准</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元/人/天</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外出工作人员案件办理成本</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元/人/天</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案件中涉案物品鉴定费</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万元/件</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租车费用</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保障案件查办工作顺利</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补助制度健全性</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健全</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健全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设施、设备寿命时长</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600" w:hRule="atLeast"/>
        </w:trPr>
        <w:tc>
          <w:tcPr>
            <w:tcW w:w="3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办案人员对办案经费保障的满意程度</w:t>
            </w:r>
          </w:p>
        </w:tc>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600" w:hRule="atLeast"/>
        </w:trPr>
        <w:tc>
          <w:tcPr>
            <w:tcW w:w="746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98.49</w:t>
            </w:r>
          </w:p>
        </w:tc>
        <w:tc>
          <w:tcPr>
            <w:tcW w:w="12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numPr>
          <w:ilvl w:val="0"/>
          <w:numId w:val="0"/>
        </w:numPr>
        <w:rPr>
          <w:rFonts w:hint="eastAsia"/>
        </w:rPr>
      </w:pPr>
    </w:p>
    <w:p>
      <w:pPr>
        <w:pStyle w:val="2"/>
        <w:numPr>
          <w:ilvl w:val="0"/>
          <w:numId w:val="0"/>
        </w:numPr>
        <w:ind w:firstLine="640" w:firstLineChars="200"/>
        <w:rPr>
          <w:rFonts w:hint="eastAsia" w:ascii="仿宋_GB2312" w:hAnsi="仿宋_GB2312" w:eastAsia="仿宋_GB2312" w:cs="Times New Roman"/>
          <w:b w:val="0"/>
          <w:kern w:val="2"/>
          <w:sz w:val="32"/>
          <w:szCs w:val="24"/>
          <w:lang w:val="en-US" w:eastAsia="zh-CN" w:bidi="ar-SA"/>
        </w:rPr>
      </w:pPr>
      <w:r>
        <w:rPr>
          <w:rFonts w:hint="eastAsia" w:ascii="仿宋_GB2312" w:hAnsi="仿宋_GB2312" w:cs="Times New Roman"/>
          <w:b w:val="0"/>
          <w:kern w:val="2"/>
          <w:sz w:val="32"/>
          <w:szCs w:val="24"/>
          <w:lang w:val="en-US" w:eastAsia="zh-CN" w:bidi="ar-SA"/>
        </w:rPr>
        <w:t>2.</w:t>
      </w:r>
      <w:r>
        <w:rPr>
          <w:rFonts w:hint="eastAsia" w:ascii="仿宋_GB2312" w:hAnsi="仿宋_GB2312" w:eastAsia="仿宋_GB2312" w:cs="Times New Roman"/>
          <w:b w:val="0"/>
          <w:kern w:val="2"/>
          <w:sz w:val="32"/>
          <w:szCs w:val="24"/>
          <w:lang w:val="en-US" w:eastAsia="zh-CN" w:bidi="ar-SA"/>
        </w:rPr>
        <w:t>纪委办公楼运转经费项目自评综述：根据年初设定的绩效目标，项目自评得分99.77分。全年预算数为</w:t>
      </w:r>
      <w:r>
        <w:rPr>
          <w:rFonts w:hint="eastAsia" w:ascii="仿宋_GB2312" w:hAnsi="仿宋_GB2312" w:cs="Times New Roman"/>
          <w:b w:val="0"/>
          <w:kern w:val="2"/>
          <w:sz w:val="32"/>
          <w:szCs w:val="24"/>
          <w:lang w:val="en-US" w:eastAsia="zh-CN" w:bidi="ar-SA"/>
        </w:rPr>
        <w:t>60</w:t>
      </w:r>
      <w:r>
        <w:rPr>
          <w:rFonts w:hint="eastAsia" w:ascii="仿宋_GB2312" w:hAnsi="仿宋_GB2312" w:eastAsia="仿宋_GB2312" w:cs="Times New Roman"/>
          <w:b w:val="0"/>
          <w:kern w:val="2"/>
          <w:sz w:val="32"/>
          <w:szCs w:val="24"/>
          <w:lang w:val="en-US" w:eastAsia="zh-CN" w:bidi="ar-SA"/>
        </w:rPr>
        <w:t>万元，执行数为</w:t>
      </w:r>
      <w:r>
        <w:rPr>
          <w:rFonts w:hint="eastAsia" w:ascii="仿宋_GB2312" w:hAnsi="仿宋_GB2312" w:cs="Times New Roman"/>
          <w:b w:val="0"/>
          <w:kern w:val="2"/>
          <w:sz w:val="32"/>
          <w:szCs w:val="24"/>
          <w:lang w:val="en-US" w:eastAsia="zh-CN" w:bidi="ar-SA"/>
        </w:rPr>
        <w:t>58.61</w:t>
      </w:r>
      <w:r>
        <w:rPr>
          <w:rFonts w:hint="eastAsia" w:ascii="仿宋_GB2312" w:hAnsi="仿宋_GB2312" w:eastAsia="仿宋_GB2312" w:cs="Times New Roman"/>
          <w:b w:val="0"/>
          <w:kern w:val="2"/>
          <w:sz w:val="32"/>
          <w:szCs w:val="24"/>
          <w:lang w:val="en-US" w:eastAsia="zh-CN" w:bidi="ar-SA"/>
        </w:rPr>
        <w:t>万元，完成预算的</w:t>
      </w:r>
      <w:r>
        <w:rPr>
          <w:rFonts w:hint="eastAsia" w:ascii="仿宋_GB2312" w:hAnsi="仿宋_GB2312" w:cs="Times New Roman"/>
          <w:b w:val="0"/>
          <w:kern w:val="2"/>
          <w:sz w:val="32"/>
          <w:szCs w:val="24"/>
          <w:lang w:val="en-US" w:eastAsia="zh-CN" w:bidi="ar-SA"/>
        </w:rPr>
        <w:t>97.68</w:t>
      </w:r>
      <w:r>
        <w:rPr>
          <w:rFonts w:hint="eastAsia" w:ascii="仿宋_GB2312" w:hAnsi="仿宋_GB2312" w:eastAsia="仿宋_GB2312" w:cs="Times New Roman"/>
          <w:b w:val="0"/>
          <w:kern w:val="2"/>
          <w:sz w:val="32"/>
          <w:szCs w:val="24"/>
          <w:lang w:val="en-US" w:eastAsia="zh-CN" w:bidi="ar-SA"/>
        </w:rPr>
        <w:t>%。项目绩效目标完成情况：已足额缴纳202</w:t>
      </w:r>
      <w:r>
        <w:rPr>
          <w:rFonts w:hint="eastAsia" w:ascii="仿宋_GB2312" w:hAnsi="仿宋_GB2312" w:cs="Times New Roman"/>
          <w:b w:val="0"/>
          <w:kern w:val="2"/>
          <w:sz w:val="32"/>
          <w:szCs w:val="24"/>
          <w:lang w:val="en-US" w:eastAsia="zh-CN" w:bidi="ar-SA"/>
        </w:rPr>
        <w:t>3</w:t>
      </w:r>
      <w:r>
        <w:rPr>
          <w:rFonts w:hint="eastAsia" w:ascii="仿宋_GB2312" w:hAnsi="仿宋_GB2312" w:eastAsia="仿宋_GB2312" w:cs="Times New Roman"/>
          <w:b w:val="0"/>
          <w:kern w:val="2"/>
          <w:sz w:val="32"/>
          <w:szCs w:val="24"/>
          <w:lang w:val="en-US" w:eastAsia="zh-CN" w:bidi="ar-SA"/>
        </w:rPr>
        <w:t>年市纪委办公楼物业费、水电费及维修费等。发现的主要问题及原因：严格按照相关报销手续进行报销，未发现存在的问题。下一步改进措施：项目预算不够细化、不够精准，</w:t>
      </w:r>
      <w:r>
        <w:rPr>
          <w:rFonts w:hint="eastAsia" w:ascii="仿宋_GB2312" w:hAnsi="仿宋_GB2312" w:cs="Times New Roman"/>
          <w:b w:val="0"/>
          <w:kern w:val="2"/>
          <w:sz w:val="32"/>
          <w:szCs w:val="24"/>
          <w:lang w:val="en-US" w:eastAsia="zh-CN" w:bidi="ar-SA"/>
        </w:rPr>
        <w:t>有需要支出的</w:t>
      </w:r>
      <w:r>
        <w:rPr>
          <w:rFonts w:hint="eastAsia" w:ascii="仿宋_GB2312" w:hAnsi="仿宋_GB2312" w:eastAsia="仿宋_GB2312" w:cs="Times New Roman"/>
          <w:b w:val="0"/>
          <w:kern w:val="2"/>
          <w:sz w:val="32"/>
          <w:szCs w:val="24"/>
          <w:lang w:val="en-US" w:eastAsia="zh-CN" w:bidi="ar-SA"/>
        </w:rPr>
        <w:t>项目</w:t>
      </w:r>
      <w:r>
        <w:rPr>
          <w:rFonts w:hint="eastAsia" w:ascii="仿宋_GB2312" w:hAnsi="仿宋_GB2312" w:cs="Times New Roman"/>
          <w:b w:val="0"/>
          <w:kern w:val="2"/>
          <w:sz w:val="32"/>
          <w:szCs w:val="24"/>
          <w:lang w:val="en-US" w:eastAsia="zh-CN" w:bidi="ar-SA"/>
        </w:rPr>
        <w:t>金额未能及时拨付</w:t>
      </w:r>
      <w:r>
        <w:rPr>
          <w:rFonts w:hint="eastAsia" w:ascii="仿宋_GB2312" w:hAnsi="仿宋_GB2312" w:eastAsia="仿宋_GB2312" w:cs="Times New Roman"/>
          <w:b w:val="0"/>
          <w:kern w:val="2"/>
          <w:sz w:val="32"/>
          <w:szCs w:val="24"/>
          <w:lang w:val="en-US" w:eastAsia="zh-CN" w:bidi="ar-SA"/>
        </w:rPr>
        <w:t>。下一步改进措施：进一步细化项目预算，减少项目内预算指标调整</w:t>
      </w:r>
      <w:r>
        <w:rPr>
          <w:rFonts w:hint="eastAsia" w:ascii="仿宋_GB2312" w:hAnsi="仿宋_GB2312" w:cs="Times New Roman"/>
          <w:b w:val="0"/>
          <w:kern w:val="2"/>
          <w:sz w:val="32"/>
          <w:szCs w:val="24"/>
          <w:lang w:val="en-US" w:eastAsia="zh-CN" w:bidi="ar-SA"/>
        </w:rPr>
        <w:t>，使项目资金的预算更为精准</w:t>
      </w:r>
      <w:r>
        <w:rPr>
          <w:rFonts w:hint="eastAsia" w:ascii="仿宋_GB2312" w:hAnsi="仿宋_GB2312" w:eastAsia="仿宋_GB2312" w:cs="Times New Roman"/>
          <w:b w:val="0"/>
          <w:kern w:val="2"/>
          <w:sz w:val="32"/>
          <w:szCs w:val="24"/>
          <w:lang w:val="en-US" w:eastAsia="zh-CN" w:bidi="ar-SA"/>
        </w:rPr>
        <w:t>。支出资金使用过程中存在的问题和薄弱环节，督促落实整改计划和措施，确保内部控制体系的有效运行，确保资金安全、合法使用使资金拨付流程更加规范，在拨付依据上按照先有指标再有用款计划，按时间进度或项目进度进行拨付。</w:t>
      </w:r>
    </w:p>
    <w:tbl>
      <w:tblPr>
        <w:tblStyle w:val="21"/>
        <w:tblW w:w="9770" w:type="dxa"/>
        <w:tblInd w:w="0" w:type="dxa"/>
        <w:shd w:val="clear" w:color="auto" w:fill="auto"/>
        <w:tblLayout w:type="fixed"/>
        <w:tblCellMar>
          <w:top w:w="0" w:type="dxa"/>
          <w:left w:w="0" w:type="dxa"/>
          <w:bottom w:w="0" w:type="dxa"/>
          <w:right w:w="0" w:type="dxa"/>
        </w:tblCellMar>
      </w:tblPr>
      <w:tblGrid>
        <w:gridCol w:w="418"/>
        <w:gridCol w:w="487"/>
        <w:gridCol w:w="737"/>
        <w:gridCol w:w="2525"/>
        <w:gridCol w:w="441"/>
        <w:gridCol w:w="432"/>
        <w:gridCol w:w="764"/>
        <w:gridCol w:w="915"/>
        <w:gridCol w:w="662"/>
        <w:gridCol w:w="434"/>
        <w:gridCol w:w="603"/>
        <w:gridCol w:w="1352"/>
      </w:tblGrid>
      <w:tr>
        <w:tblPrEx>
          <w:tblLayout w:type="fixed"/>
          <w:tblCellMar>
            <w:top w:w="0" w:type="dxa"/>
            <w:left w:w="0" w:type="dxa"/>
            <w:bottom w:w="0" w:type="dxa"/>
            <w:right w:w="0" w:type="dxa"/>
          </w:tblCellMar>
        </w:tblPrEx>
        <w:trPr>
          <w:trHeight w:val="960" w:hRule="atLeast"/>
        </w:trPr>
        <w:tc>
          <w:tcPr>
            <w:tcW w:w="97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8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纪委办公楼运转经费</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1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中共乌海市纪律检查委员会（部门）</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0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w:t>
            </w:r>
          </w:p>
        </w:tc>
      </w:tr>
      <w:tr>
        <w:tblPrEx>
          <w:tblLayout w:type="fixed"/>
          <w:tblCellMar>
            <w:top w:w="0" w:type="dxa"/>
            <w:left w:w="0" w:type="dxa"/>
            <w:bottom w:w="0" w:type="dxa"/>
            <w:right w:w="0" w:type="dxa"/>
          </w:tblCellMar>
        </w:tblPrEx>
        <w:trPr>
          <w:trHeight w:val="380" w:hRule="atLeast"/>
        </w:trPr>
        <w:tc>
          <w:tcPr>
            <w:tcW w:w="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58.61</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97.68</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58.61</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97.68</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9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8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9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120" w:hRule="atLeast"/>
        </w:trPr>
        <w:tc>
          <w:tcPr>
            <w:tcW w:w="9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9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通过政策缴纳水电费，能够保障机构正常运转，完成日常工作任务。</w:t>
            </w:r>
          </w:p>
        </w:tc>
        <w:tc>
          <w:tcPr>
            <w:tcW w:w="39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足额缴纳乌海市纪委监委办公楼水费、电费；对场所内需维修的物品及时进行维修。</w:t>
            </w:r>
          </w:p>
        </w:tc>
      </w:tr>
      <w:tr>
        <w:tblPrEx>
          <w:tblLayout w:type="fixed"/>
          <w:tblCellMar>
            <w:top w:w="0" w:type="dxa"/>
            <w:left w:w="0" w:type="dxa"/>
            <w:bottom w:w="0" w:type="dxa"/>
            <w:right w:w="0" w:type="dxa"/>
          </w:tblCellMar>
        </w:tblPrEx>
        <w:trPr>
          <w:trHeight w:val="380" w:hRule="atLeast"/>
        </w:trPr>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840" w:hRule="atLeast"/>
        </w:trPr>
        <w:tc>
          <w:tcPr>
            <w:tcW w:w="418"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纪委办公楼建筑面积</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16241.7</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16241.7</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水电费缴纳次数</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大楼维修次数</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水电供应天数</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办公楼维修合格率</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水电费到位及时率</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办公楼维修及时率</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办公楼水电费成本</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42.43</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办公楼维修成本</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16.18</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对办公楼、设施设备的安全性进行维护、保养和检测，保障人员人身安全</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办公楼维修维护是否改善提升了员工办公环境；</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对办公大楼进行维修维护能够保障办公楼持续化利用</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办公楼工作人员满意度</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418"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8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办公楼维修维护、物业服务受益人员满意度</w:t>
            </w:r>
          </w:p>
        </w:tc>
        <w:tc>
          <w:tcPr>
            <w:tcW w:w="4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738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99.77</w:t>
            </w:r>
          </w:p>
        </w:tc>
        <w:tc>
          <w:tcPr>
            <w:tcW w:w="1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ind w:firstLine="640" w:firstLineChars="200"/>
        <w:rPr>
          <w:rFonts w:hint="eastAsia" w:ascii="仿宋_GB2312" w:hAnsi="仿宋_GB2312" w:eastAsia="仿宋_GB2312"/>
          <w:kern w:val="2"/>
          <w:sz w:val="32"/>
        </w:rPr>
      </w:pPr>
      <w:r>
        <w:rPr>
          <w:rFonts w:hint="eastAsia" w:ascii="仿宋_GB2312" w:hAnsi="仿宋_GB2312" w:eastAsia="仿宋_GB2312"/>
          <w:kern w:val="2"/>
          <w:sz w:val="32"/>
          <w:lang w:val="en-US" w:eastAsia="zh-CN"/>
        </w:rPr>
        <w:t>3</w:t>
      </w:r>
      <w:r>
        <w:rPr>
          <w:rFonts w:hint="eastAsia" w:ascii="仿宋_GB2312" w:hAnsi="仿宋_GB2312" w:eastAsia="仿宋_GB2312"/>
          <w:kern w:val="2"/>
          <w:sz w:val="32"/>
        </w:rPr>
        <w:t>.2022年全市争取上级资金先进单位工作经费自评综述：</w:t>
      </w:r>
      <w:r>
        <w:rPr>
          <w:rFonts w:hint="eastAsia" w:ascii="仿宋_GB2312" w:hAnsi="仿宋_GB2312" w:eastAsia="仿宋_GB2312"/>
          <w:kern w:val="2"/>
          <w:sz w:val="32"/>
          <w:lang w:val="en-US" w:eastAsia="zh-CN"/>
        </w:rPr>
        <w:t>此</w:t>
      </w:r>
      <w:r>
        <w:rPr>
          <w:rFonts w:hint="eastAsia" w:ascii="仿宋_GB2312" w:hAnsi="仿宋_GB2312" w:eastAsia="仿宋_GB2312"/>
          <w:kern w:val="2"/>
          <w:sz w:val="32"/>
        </w:rPr>
        <w:t>项目自评得分99.93分。全年预算数为</w:t>
      </w:r>
      <w:r>
        <w:rPr>
          <w:rFonts w:hint="eastAsia" w:ascii="仿宋_GB2312" w:hAnsi="仿宋_GB2312" w:eastAsia="仿宋_GB2312"/>
          <w:kern w:val="2"/>
          <w:sz w:val="32"/>
          <w:lang w:val="en-US" w:eastAsia="zh-CN"/>
        </w:rPr>
        <w:t>10</w:t>
      </w:r>
      <w:r>
        <w:rPr>
          <w:rFonts w:hint="eastAsia" w:ascii="仿宋_GB2312" w:hAnsi="仿宋_GB2312" w:eastAsia="仿宋_GB2312"/>
          <w:kern w:val="2"/>
          <w:sz w:val="32"/>
        </w:rPr>
        <w:t>万元，执行数为</w:t>
      </w:r>
      <w:r>
        <w:rPr>
          <w:rFonts w:hint="eastAsia" w:ascii="仿宋_GB2312" w:hAnsi="仿宋_GB2312" w:eastAsia="仿宋_GB2312"/>
          <w:kern w:val="2"/>
          <w:sz w:val="32"/>
          <w:lang w:val="en-US" w:eastAsia="zh-CN"/>
        </w:rPr>
        <w:t>10</w:t>
      </w:r>
      <w:r>
        <w:rPr>
          <w:rFonts w:hint="eastAsia" w:ascii="仿宋_GB2312" w:hAnsi="仿宋_GB2312" w:eastAsia="仿宋_GB2312"/>
          <w:kern w:val="2"/>
          <w:sz w:val="32"/>
        </w:rPr>
        <w:t>万元，完成预算的</w:t>
      </w:r>
      <w:r>
        <w:rPr>
          <w:rFonts w:hint="eastAsia" w:ascii="仿宋_GB2312" w:hAnsi="仿宋_GB2312" w:eastAsia="仿宋_GB2312"/>
          <w:kern w:val="2"/>
          <w:sz w:val="32"/>
          <w:lang w:val="en-US" w:eastAsia="zh-CN"/>
        </w:rPr>
        <w:t>100</w:t>
      </w:r>
      <w:r>
        <w:rPr>
          <w:rFonts w:hint="eastAsia" w:ascii="仿宋_GB2312" w:hAnsi="仿宋_GB2312" w:eastAsia="仿宋_GB2312"/>
          <w:kern w:val="2"/>
          <w:sz w:val="32"/>
        </w:rPr>
        <w:t>%。项目绩效目标完成情况：</w:t>
      </w:r>
      <w:r>
        <w:rPr>
          <w:rFonts w:hint="eastAsia" w:ascii="仿宋_GB2312" w:hAnsi="仿宋_GB2312" w:eastAsia="仿宋_GB2312" w:cs="仿宋_GB2312"/>
          <w:color w:val="auto"/>
          <w:spacing w:val="8"/>
          <w:sz w:val="32"/>
          <w:szCs w:val="32"/>
        </w:rPr>
        <w:t>保障了</w:t>
      </w:r>
      <w:r>
        <w:rPr>
          <w:rFonts w:hint="eastAsia" w:ascii="仿宋_GB2312" w:hAnsi="仿宋_GB2312" w:eastAsia="仿宋_GB2312" w:cs="仿宋_GB2312"/>
          <w:color w:val="auto"/>
          <w:spacing w:val="8"/>
          <w:sz w:val="32"/>
          <w:szCs w:val="32"/>
          <w:lang w:val="en-US" w:eastAsia="zh-CN"/>
        </w:rPr>
        <w:t>纪检监察工作人员2023年</w:t>
      </w:r>
      <w:r>
        <w:rPr>
          <w:rFonts w:hint="eastAsia" w:ascii="仿宋_GB2312" w:hAnsi="仿宋_GB2312" w:eastAsia="仿宋_GB2312" w:cs="仿宋_GB2312"/>
          <w:color w:val="auto"/>
          <w:spacing w:val="8"/>
          <w:sz w:val="32"/>
          <w:szCs w:val="32"/>
        </w:rPr>
        <w:t>在外地办公的交通、住宿等费用按时发放。</w:t>
      </w:r>
      <w:r>
        <w:rPr>
          <w:rFonts w:hint="eastAsia" w:ascii="仿宋_GB2312" w:hAnsi="仿宋_GB2312" w:eastAsia="仿宋_GB2312"/>
          <w:kern w:val="2"/>
          <w:sz w:val="32"/>
        </w:rPr>
        <w:t>发现的主要问题及原因：严格按照相关报销手续进行报销，未发现存在的问题。下一步改进措施：加强资金管理，做好资金规划，一定做到专款专项，保证资金能够得到最大化的使用。对日常内部控制的监理和实施情况尤其资金使用情况进行监督，支出资金使用过程中存在的问题和薄弱环节，督促落实整改计划和措施，确保内部控制体系的有效运行，确保资金安全、合法使用使资金拨付流程更加规范，在拨付依据上按照先有指标再有用款计划，按时间进度或项目进度进行拨付。</w:t>
      </w:r>
    </w:p>
    <w:tbl>
      <w:tblPr>
        <w:tblStyle w:val="21"/>
        <w:tblW w:w="9770" w:type="dxa"/>
        <w:tblInd w:w="0" w:type="dxa"/>
        <w:shd w:val="clear" w:color="auto" w:fill="auto"/>
        <w:tblLayout w:type="fixed"/>
        <w:tblCellMar>
          <w:top w:w="0" w:type="dxa"/>
          <w:left w:w="0" w:type="dxa"/>
          <w:bottom w:w="0" w:type="dxa"/>
          <w:right w:w="0" w:type="dxa"/>
        </w:tblCellMar>
      </w:tblPr>
      <w:tblGrid>
        <w:gridCol w:w="380"/>
        <w:gridCol w:w="437"/>
        <w:gridCol w:w="675"/>
        <w:gridCol w:w="1647"/>
        <w:gridCol w:w="407"/>
        <w:gridCol w:w="397"/>
        <w:gridCol w:w="807"/>
        <w:gridCol w:w="1187"/>
        <w:gridCol w:w="824"/>
        <w:gridCol w:w="536"/>
        <w:gridCol w:w="736"/>
        <w:gridCol w:w="1737"/>
      </w:tblGrid>
      <w:tr>
        <w:tblPrEx>
          <w:shd w:val="clear" w:color="auto" w:fill="auto"/>
          <w:tblLayout w:type="fixed"/>
          <w:tblCellMar>
            <w:top w:w="0" w:type="dxa"/>
            <w:left w:w="0" w:type="dxa"/>
            <w:bottom w:w="0" w:type="dxa"/>
            <w:right w:w="0" w:type="dxa"/>
          </w:tblCellMar>
        </w:tblPrEx>
        <w:trPr>
          <w:trHeight w:val="960" w:hRule="atLeast"/>
        </w:trPr>
        <w:tc>
          <w:tcPr>
            <w:tcW w:w="97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380" w:hRule="atLeast"/>
        </w:trPr>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95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2022年全市争取上级资金先进单位工作经费</w:t>
            </w:r>
          </w:p>
        </w:tc>
      </w:tr>
      <w:tr>
        <w:tblPrEx>
          <w:shd w:val="clear" w:color="auto" w:fill="auto"/>
          <w:tblLayout w:type="fixed"/>
          <w:tblCellMar>
            <w:top w:w="0" w:type="dxa"/>
            <w:left w:w="0" w:type="dxa"/>
            <w:bottom w:w="0" w:type="dxa"/>
            <w:right w:w="0" w:type="dxa"/>
          </w:tblCellMar>
        </w:tblPrEx>
        <w:trPr>
          <w:trHeight w:val="380" w:hRule="atLeast"/>
        </w:trPr>
        <w:tc>
          <w:tcPr>
            <w:tcW w:w="8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12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中共乌海市纪律检查委员会（部门）</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83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w:t>
            </w:r>
          </w:p>
        </w:tc>
      </w:tr>
      <w:tr>
        <w:tblPrEx>
          <w:tblLayout w:type="fixed"/>
          <w:tblCellMar>
            <w:top w:w="0" w:type="dxa"/>
            <w:left w:w="0" w:type="dxa"/>
            <w:bottom w:w="0" w:type="dxa"/>
            <w:right w:w="0" w:type="dxa"/>
          </w:tblCellMar>
        </w:tblPrEx>
        <w:trPr>
          <w:trHeight w:val="380"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Layout w:type="fixed"/>
          <w:tblCellMar>
            <w:top w:w="0" w:type="dxa"/>
            <w:left w:w="0" w:type="dxa"/>
            <w:bottom w:w="0" w:type="dxa"/>
            <w:right w:w="0" w:type="dxa"/>
          </w:tblCellMar>
        </w:tblPrEx>
        <w:trPr>
          <w:trHeight w:val="38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Layout w:type="fixed"/>
          <w:tblCellMar>
            <w:top w:w="0" w:type="dxa"/>
            <w:left w:w="0" w:type="dxa"/>
            <w:bottom w:w="0" w:type="dxa"/>
            <w:right w:w="0" w:type="dxa"/>
          </w:tblCellMar>
        </w:tblPrEx>
        <w:trPr>
          <w:trHeight w:val="38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393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50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Layout w:type="fixed"/>
          <w:tblCellMar>
            <w:top w:w="0" w:type="dxa"/>
            <w:left w:w="0" w:type="dxa"/>
            <w:bottom w:w="0" w:type="dxa"/>
            <w:right w:w="0" w:type="dxa"/>
          </w:tblCellMar>
        </w:tblPrEx>
        <w:trPr>
          <w:trHeight w:val="1120" w:hRule="atLeast"/>
        </w:trPr>
        <w:tc>
          <w:tcPr>
            <w:tcW w:w="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3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通过2022年全市争取上级资金先进单位工作经费保障纪委外出办案人员差旅费</w:t>
            </w:r>
          </w:p>
        </w:tc>
        <w:tc>
          <w:tcPr>
            <w:tcW w:w="50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2023年纪委外出办案人员差旅费经费10万元全部由财政局拨付，并全额使用，保障了专案组在外地办公的交通、住宿等费用按时发放。</w:t>
            </w:r>
          </w:p>
        </w:tc>
      </w:tr>
      <w:tr>
        <w:tblPrEx>
          <w:shd w:val="clear" w:color="auto" w:fill="auto"/>
          <w:tblLayout w:type="fixed"/>
          <w:tblCellMar>
            <w:top w:w="0" w:type="dxa"/>
            <w:left w:w="0" w:type="dxa"/>
            <w:bottom w:w="0" w:type="dxa"/>
            <w:right w:w="0" w:type="dxa"/>
          </w:tblCellMar>
        </w:tblPrEx>
        <w:trPr>
          <w:trHeight w:val="380" w:hRule="atLeast"/>
        </w:trPr>
        <w:tc>
          <w:tcPr>
            <w:tcW w:w="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8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外出办案地区</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外出办案人员</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纪委办案人员赴外出差率</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纪委办案人员案件办结率</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百分比</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纪委办案人员赴外出差完成时间</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20231231</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20231231</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日期</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纪委办案人员案件办结完成时间</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20231231</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20231231</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日期</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纪委办案人员赴外住宿费</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纪委办案人员赴外车船费</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维护社会形象</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更好地推动国家的反腐力度</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维护社会稳定增加社会和谐</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有效维护</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有效维护</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推进全面从严治党加强党风建设和组织协调反腐工作</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有效推进</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有效推进</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6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纪委办案人员对办案经费保障的满意程度</w:t>
            </w:r>
          </w:p>
        </w:tc>
        <w:tc>
          <w:tcPr>
            <w:tcW w:w="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3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8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1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8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7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6761"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5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99.93</w:t>
            </w:r>
          </w:p>
        </w:tc>
        <w:tc>
          <w:tcPr>
            <w:tcW w:w="1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numPr>
          <w:ilvl w:val="0"/>
          <w:numId w:val="0"/>
        </w:numPr>
        <w:spacing w:beforeLines="0" w:afterLines="0" w:line="560" w:lineRule="exact"/>
        <w:ind w:firstLine="640" w:firstLineChars="200"/>
        <w:jc w:val="both"/>
        <w:rPr>
          <w:rFonts w:hint="eastAsia" w:ascii="仿宋_GB2312" w:hAnsi="仿宋_GB2312" w:eastAsia="仿宋_GB2312"/>
          <w:kern w:val="2"/>
          <w:sz w:val="32"/>
        </w:rPr>
      </w:pPr>
      <w:r>
        <w:rPr>
          <w:rFonts w:hint="eastAsia" w:ascii="仿宋_GB2312" w:hAnsi="仿宋_GB2312" w:eastAsia="仿宋_GB2312"/>
          <w:kern w:val="2"/>
          <w:sz w:val="32"/>
          <w:lang w:val="en-US" w:eastAsia="zh-CN"/>
        </w:rPr>
        <w:t>4.</w:t>
      </w:r>
      <w:r>
        <w:rPr>
          <w:rFonts w:hint="eastAsia" w:ascii="仿宋_GB2312" w:hAnsi="仿宋_GB2312" w:eastAsia="仿宋_GB2312"/>
          <w:kern w:val="2"/>
          <w:sz w:val="32"/>
        </w:rPr>
        <w:t>纪委监委业务经费项目自评综述：根据年初设定的绩效目标，项目自评得分95.31分。全年预算数为</w:t>
      </w:r>
      <w:r>
        <w:rPr>
          <w:rFonts w:hint="eastAsia" w:ascii="仿宋_GB2312" w:hAnsi="仿宋_GB2312" w:eastAsia="仿宋_GB2312"/>
          <w:kern w:val="2"/>
          <w:sz w:val="32"/>
          <w:lang w:val="en-US" w:eastAsia="zh-CN"/>
        </w:rPr>
        <w:t>280</w:t>
      </w:r>
      <w:r>
        <w:rPr>
          <w:rFonts w:hint="eastAsia" w:ascii="仿宋_GB2312" w:hAnsi="仿宋_GB2312" w:eastAsia="仿宋_GB2312"/>
          <w:kern w:val="2"/>
          <w:sz w:val="32"/>
        </w:rPr>
        <w:t>万元，执行数为</w:t>
      </w:r>
      <w:r>
        <w:rPr>
          <w:rFonts w:hint="eastAsia" w:ascii="仿宋_GB2312" w:hAnsi="仿宋_GB2312" w:eastAsia="仿宋_GB2312"/>
          <w:kern w:val="2"/>
          <w:sz w:val="32"/>
          <w:lang w:val="en-US" w:eastAsia="zh-CN"/>
        </w:rPr>
        <w:t>217.89</w:t>
      </w:r>
      <w:r>
        <w:rPr>
          <w:rFonts w:hint="eastAsia" w:ascii="仿宋_GB2312" w:hAnsi="仿宋_GB2312" w:eastAsia="仿宋_GB2312"/>
          <w:kern w:val="2"/>
          <w:sz w:val="32"/>
        </w:rPr>
        <w:t>万元，完成预算的</w:t>
      </w:r>
      <w:r>
        <w:rPr>
          <w:rFonts w:hint="eastAsia" w:ascii="仿宋_GB2312" w:hAnsi="仿宋_GB2312" w:eastAsia="仿宋_GB2312"/>
          <w:kern w:val="2"/>
          <w:sz w:val="32"/>
          <w:lang w:val="en-US" w:eastAsia="zh-CN"/>
        </w:rPr>
        <w:t>77.82</w:t>
      </w:r>
      <w:r>
        <w:rPr>
          <w:rFonts w:hint="eastAsia" w:ascii="仿宋_GB2312" w:hAnsi="仿宋_GB2312" w:eastAsia="仿宋_GB2312"/>
          <w:kern w:val="2"/>
          <w:sz w:val="32"/>
        </w:rPr>
        <w:t>%。项目绩效目标完成情况：已足额支付相关费用，保障线索处理以及案件办理产生的相关费用。发现的主要问题及原因：严格按照相关报销手续进行报销，未发现存在的问题。下一步改进措施：</w:t>
      </w:r>
      <w:r>
        <w:rPr>
          <w:rFonts w:hint="eastAsia" w:ascii="仿宋_GB2312" w:hAnsi="仿宋_GB2312" w:eastAsia="仿宋_GB2312"/>
          <w:kern w:val="2"/>
          <w:sz w:val="32"/>
          <w:lang w:val="en-US" w:eastAsia="zh-CN"/>
        </w:rPr>
        <w:t>项目预算不够细化、不够精准，征求各部室意见不充足，项目不能及时跟进政策变化。</w:t>
      </w:r>
      <w:r>
        <w:rPr>
          <w:rFonts w:hint="eastAsia" w:ascii="仿宋_GB2312" w:hAnsi="仿宋_GB2312" w:eastAsia="仿宋_GB2312"/>
          <w:kern w:val="2"/>
          <w:sz w:val="32"/>
        </w:rPr>
        <w:t>下一步改进措施：</w:t>
      </w:r>
      <w:r>
        <w:rPr>
          <w:rFonts w:hint="eastAsia" w:ascii="仿宋_GB2312" w:hAnsi="仿宋_GB2312" w:eastAsia="仿宋_GB2312"/>
          <w:kern w:val="2"/>
          <w:sz w:val="32"/>
          <w:lang w:val="en-US" w:eastAsia="zh-CN"/>
        </w:rPr>
        <w:t>进一步细化项目预算，减少项目内预算指标调整；充分征求各部室意见，协商确定预算方向和预算金额。</w:t>
      </w:r>
      <w:r>
        <w:rPr>
          <w:rFonts w:hint="eastAsia" w:ascii="仿宋_GB2312" w:hAnsi="仿宋_GB2312" w:eastAsia="仿宋_GB2312"/>
          <w:kern w:val="2"/>
          <w:sz w:val="32"/>
        </w:rPr>
        <w:t>支出资金使用过程中存在的问题和薄弱环节，督促落实整改计划和措施，确保内部控制体系的有效运行，确保资金安全、合法使用使资金拨付流程更加规范，在拨付依据上按照先有指标再有用款计划，按时间进度或项目进度进行拨付。</w:t>
      </w:r>
    </w:p>
    <w:tbl>
      <w:tblPr>
        <w:tblStyle w:val="21"/>
        <w:tblW w:w="9770" w:type="dxa"/>
        <w:tblInd w:w="0" w:type="dxa"/>
        <w:shd w:val="clear" w:color="auto" w:fill="auto"/>
        <w:tblLayout w:type="fixed"/>
        <w:tblCellMar>
          <w:top w:w="0" w:type="dxa"/>
          <w:left w:w="0" w:type="dxa"/>
          <w:bottom w:w="0" w:type="dxa"/>
          <w:right w:w="0" w:type="dxa"/>
        </w:tblCellMar>
      </w:tblPr>
      <w:tblGrid>
        <w:gridCol w:w="313"/>
        <w:gridCol w:w="347"/>
        <w:gridCol w:w="816"/>
        <w:gridCol w:w="3545"/>
        <w:gridCol w:w="537"/>
        <w:gridCol w:w="506"/>
        <w:gridCol w:w="676"/>
        <w:gridCol w:w="640"/>
        <w:gridCol w:w="535"/>
        <w:gridCol w:w="439"/>
        <w:gridCol w:w="541"/>
        <w:gridCol w:w="875"/>
      </w:tblGrid>
      <w:tr>
        <w:tblPrEx>
          <w:tblLayout w:type="fixed"/>
          <w:tblCellMar>
            <w:top w:w="0" w:type="dxa"/>
            <w:left w:w="0" w:type="dxa"/>
            <w:bottom w:w="0" w:type="dxa"/>
            <w:right w:w="0" w:type="dxa"/>
          </w:tblCellMar>
        </w:tblPrEx>
        <w:trPr>
          <w:trHeight w:val="960" w:hRule="atLeast"/>
        </w:trPr>
        <w:tc>
          <w:tcPr>
            <w:tcW w:w="97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shd w:val="clear" w:color="auto" w:fill="auto"/>
          <w:tblLayout w:type="fixed"/>
          <w:tblCellMar>
            <w:top w:w="0" w:type="dxa"/>
            <w:left w:w="0" w:type="dxa"/>
            <w:bottom w:w="0" w:type="dxa"/>
            <w:right w:w="0" w:type="dxa"/>
          </w:tblCellMar>
        </w:tblPrEx>
        <w:trPr>
          <w:trHeight w:val="380" w:hRule="atLeast"/>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11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纪委监委业务经费</w:t>
            </w:r>
          </w:p>
        </w:tc>
      </w:tr>
      <w:tr>
        <w:tblPrEx>
          <w:tblLayout w:type="fixed"/>
          <w:tblCellMar>
            <w:top w:w="0" w:type="dxa"/>
            <w:left w:w="0" w:type="dxa"/>
            <w:bottom w:w="0" w:type="dxa"/>
            <w:right w:w="0" w:type="dxa"/>
          </w:tblCellMar>
        </w:tblPrEx>
        <w:trPr>
          <w:trHeight w:val="380" w:hRule="atLeast"/>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54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中共乌海市纪律检查委员会（部门）</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3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w:t>
            </w:r>
          </w:p>
        </w:tc>
      </w:tr>
      <w:tr>
        <w:tblPrEx>
          <w:shd w:val="clear" w:color="auto" w:fill="auto"/>
          <w:tblLayout w:type="fixed"/>
          <w:tblCellMar>
            <w:top w:w="0" w:type="dxa"/>
            <w:left w:w="0" w:type="dxa"/>
            <w:bottom w:w="0" w:type="dxa"/>
            <w:right w:w="0" w:type="dxa"/>
          </w:tblCellMar>
        </w:tblPrEx>
        <w:trPr>
          <w:trHeight w:val="380" w:hRule="atLeast"/>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Layout w:type="fixed"/>
          <w:tblCellMar>
            <w:top w:w="0" w:type="dxa"/>
            <w:left w:w="0" w:type="dxa"/>
            <w:bottom w:w="0" w:type="dxa"/>
            <w:right w:w="0" w:type="dxa"/>
          </w:tblCellMar>
        </w:tblPrEx>
        <w:trPr>
          <w:trHeight w:val="380"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217.89</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77.82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7.78</w:t>
            </w:r>
          </w:p>
        </w:tc>
      </w:tr>
      <w:tr>
        <w:tblPrEx>
          <w:tblLayout w:type="fixed"/>
          <w:tblCellMar>
            <w:top w:w="0" w:type="dxa"/>
            <w:left w:w="0" w:type="dxa"/>
            <w:bottom w:w="0" w:type="dxa"/>
            <w:right w:w="0" w:type="dxa"/>
          </w:tblCellMar>
        </w:tblPrEx>
        <w:trPr>
          <w:trHeight w:val="380"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217.89</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77.82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6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60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Layout w:type="fixed"/>
          <w:tblCellMar>
            <w:top w:w="0" w:type="dxa"/>
            <w:left w:w="0" w:type="dxa"/>
            <w:bottom w:w="0" w:type="dxa"/>
            <w:right w:w="0" w:type="dxa"/>
          </w:tblCellMar>
        </w:tblPrEx>
        <w:trPr>
          <w:trHeight w:val="1120" w:hRule="atLeast"/>
        </w:trPr>
        <w:tc>
          <w:tcPr>
            <w:tcW w:w="6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支付本年度线索处置以及案件办理产生相关费用从而有效保障处置各类线索，提升依法依规和按期处置线索的能力。通过行使纪检监察的工作职责，达到不敢腐、不能腐不想腐的社会氛围。通过办案联网平台系统，及时准确了解办案信息。通过对纪委干部的培训，有效提高纪委干部的工作效率。</w:t>
            </w:r>
          </w:p>
        </w:tc>
        <w:tc>
          <w:tcPr>
            <w:tcW w:w="303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保障日常工作顺利开展，足额支付相关费用线索处理以及案件办理产生的相关费用。</w:t>
            </w:r>
          </w:p>
        </w:tc>
      </w:tr>
      <w:tr>
        <w:tblPrEx>
          <w:tblLayout w:type="fixed"/>
          <w:tblCellMar>
            <w:top w:w="0" w:type="dxa"/>
            <w:left w:w="0" w:type="dxa"/>
            <w:bottom w:w="0" w:type="dxa"/>
            <w:right w:w="0" w:type="dxa"/>
          </w:tblCellMar>
        </w:tblPrEx>
        <w:trPr>
          <w:trHeight w:val="460" w:hRule="atLeast"/>
        </w:trPr>
        <w:tc>
          <w:tcPr>
            <w:tcW w:w="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5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840" w:hRule="atLeast"/>
        </w:trPr>
        <w:tc>
          <w:tcPr>
            <w:tcW w:w="31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3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专案办案件数</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办案联网平台数量</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外出调研次数</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纪检干部培训次数</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纪委全会召开次数</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宣传平台数量</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宣传平台内容符合率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市监察委员会机构设备购置合格率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办案联网平台系统稳定性</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纪检干部培训合格率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纪委全会召开准时率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案件执行率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办公设备采购及时率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外出调研及时率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纪委全会会议召开及时率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纪检干部培训及时率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平台信息更新及时率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专案办案成本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市监察委员会机构成本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90.89</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办案联网平台成本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派驻纪检组工作成本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外出调研成本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纪检干部培训成本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纪委全会召开成本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宣传平台成本</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保障专案办案工作顺利进行</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保障市监察委员会工作正常开展</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能够及时准确了解办案信息</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准确。及时</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准确、及时</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市纪委政策知晓率</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5.28</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采购设备可使用年限</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180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16"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宣传纪委监委各项工作，以政治监督实际行动践行“两个维护”，不断推动纪检监察工作高质量发展</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有效宣传</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有效宣传</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1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35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纪委办公人员对办案经费保障的满意程度</w:t>
            </w:r>
          </w:p>
        </w:tc>
        <w:tc>
          <w:tcPr>
            <w:tcW w:w="5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50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67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4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791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95.31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beforeLines="0" w:afterLines="0" w:line="560" w:lineRule="exact"/>
        <w:ind w:firstLine="640"/>
        <w:jc w:val="both"/>
        <w:rPr>
          <w:rFonts w:hint="eastAsia"/>
        </w:rPr>
      </w:pPr>
      <w:r>
        <w:rPr>
          <w:rFonts w:hint="eastAsia" w:ascii="仿宋_GB2312" w:hAnsi="仿宋_GB2312" w:eastAsia="仿宋_GB2312"/>
          <w:kern w:val="2"/>
          <w:sz w:val="32"/>
        </w:rPr>
        <w:t>5.廉政教育中心运转经费项目自评综述：根据年初设定的绩效目标，项目自评得分</w:t>
      </w:r>
      <w:r>
        <w:rPr>
          <w:rFonts w:hint="eastAsia" w:ascii="仿宋_GB2312" w:hAnsi="仿宋_GB2312" w:eastAsia="仿宋_GB2312"/>
          <w:kern w:val="2"/>
          <w:sz w:val="32"/>
          <w:lang w:val="en-US" w:eastAsia="zh-CN"/>
        </w:rPr>
        <w:t>95.99</w:t>
      </w:r>
      <w:r>
        <w:rPr>
          <w:rFonts w:hint="eastAsia" w:ascii="仿宋_GB2312" w:hAnsi="仿宋_GB2312" w:eastAsia="仿宋_GB2312"/>
          <w:kern w:val="2"/>
          <w:sz w:val="32"/>
        </w:rPr>
        <w:t>分。全年预算数为</w:t>
      </w:r>
      <w:r>
        <w:rPr>
          <w:rFonts w:hint="eastAsia" w:ascii="仿宋_GB2312" w:hAnsi="仿宋_GB2312" w:eastAsia="仿宋_GB2312"/>
          <w:kern w:val="2"/>
          <w:sz w:val="32"/>
          <w:lang w:val="en-US" w:eastAsia="zh-CN"/>
        </w:rPr>
        <w:t>240</w:t>
      </w:r>
      <w:r>
        <w:rPr>
          <w:rFonts w:hint="eastAsia" w:ascii="仿宋_GB2312" w:hAnsi="仿宋_GB2312" w:eastAsia="仿宋_GB2312"/>
          <w:kern w:val="2"/>
          <w:sz w:val="32"/>
        </w:rPr>
        <w:t>万元，执行数为</w:t>
      </w:r>
      <w:r>
        <w:rPr>
          <w:rFonts w:hint="eastAsia" w:ascii="仿宋_GB2312" w:hAnsi="仿宋_GB2312" w:eastAsia="仿宋_GB2312"/>
          <w:kern w:val="2"/>
          <w:sz w:val="32"/>
          <w:lang w:val="en-US" w:eastAsia="zh-CN"/>
        </w:rPr>
        <w:t>206.21</w:t>
      </w:r>
      <w:r>
        <w:rPr>
          <w:rFonts w:hint="eastAsia" w:ascii="仿宋_GB2312" w:hAnsi="仿宋_GB2312" w:eastAsia="仿宋_GB2312"/>
          <w:kern w:val="2"/>
          <w:sz w:val="32"/>
        </w:rPr>
        <w:t>万元，完成预算的</w:t>
      </w:r>
      <w:r>
        <w:rPr>
          <w:rFonts w:hint="eastAsia" w:ascii="仿宋_GB2312" w:hAnsi="仿宋_GB2312" w:eastAsia="仿宋_GB2312"/>
          <w:kern w:val="2"/>
          <w:sz w:val="32"/>
          <w:lang w:val="en-US" w:eastAsia="zh-CN"/>
        </w:rPr>
        <w:t>85.92</w:t>
      </w:r>
      <w:r>
        <w:rPr>
          <w:rFonts w:hint="eastAsia" w:ascii="仿宋_GB2312" w:hAnsi="仿宋_GB2312" w:eastAsia="仿宋_GB2312"/>
          <w:kern w:val="2"/>
          <w:sz w:val="32"/>
        </w:rPr>
        <w:t>%。项目绩效目标完成情况：保障市纪委廉政教育中心职工办公基本条件，办公区域人员、物资安全，维修及时、绿化美化达标； 保障廉政教育中心名工作人员办公所需的办公耗材及办公用品。发现的主要问题及原因：严格按照相关报销手续进行报销，未发现存在的问题。下一步改进措施：</w:t>
      </w:r>
      <w:r>
        <w:rPr>
          <w:rFonts w:hint="eastAsia" w:ascii="仿宋_GB2312" w:hAnsi="仿宋_GB2312" w:eastAsia="仿宋_GB2312"/>
          <w:kern w:val="2"/>
          <w:sz w:val="32"/>
          <w:lang w:val="en-US" w:eastAsia="zh-CN"/>
        </w:rPr>
        <w:t>项目预算不够细化、不够精准，项目不能及时跟进政策变化。</w:t>
      </w:r>
      <w:r>
        <w:rPr>
          <w:rFonts w:hint="eastAsia" w:ascii="仿宋_GB2312" w:hAnsi="仿宋_GB2312" w:eastAsia="仿宋_GB2312"/>
          <w:kern w:val="2"/>
          <w:sz w:val="32"/>
        </w:rPr>
        <w:t>下一步改进措施：</w:t>
      </w:r>
      <w:r>
        <w:rPr>
          <w:rFonts w:hint="eastAsia" w:ascii="仿宋_GB2312" w:hAnsi="仿宋_GB2312" w:eastAsia="仿宋_GB2312"/>
          <w:kern w:val="2"/>
          <w:sz w:val="32"/>
          <w:lang w:val="en-US" w:eastAsia="zh-CN"/>
        </w:rPr>
        <w:t>进一步细化项目预算，减少项目内预算指标调整；协商确定预算方向和预算金额，</w:t>
      </w:r>
      <w:r>
        <w:rPr>
          <w:rFonts w:hint="eastAsia" w:ascii="仿宋_GB2312" w:hAnsi="仿宋_GB2312" w:eastAsia="仿宋_GB2312"/>
          <w:kern w:val="2"/>
          <w:sz w:val="32"/>
        </w:rPr>
        <w:t>支出资金使用过程中存在的问题和薄弱环节，督促落实整改计划和措施，确保内部控制体系的有效运行，确保资金安全、合法使用使资金拨付流程更加规范，在拨付依据上按照先有指标再有用款计划，按时间进度或项目进度进行拨付。</w:t>
      </w:r>
    </w:p>
    <w:tbl>
      <w:tblPr>
        <w:tblStyle w:val="21"/>
        <w:tblW w:w="9770" w:type="dxa"/>
        <w:tblInd w:w="0" w:type="dxa"/>
        <w:shd w:val="clear" w:color="auto" w:fill="auto"/>
        <w:tblLayout w:type="fixed"/>
        <w:tblCellMar>
          <w:top w:w="0" w:type="dxa"/>
          <w:left w:w="0" w:type="dxa"/>
          <w:bottom w:w="0" w:type="dxa"/>
          <w:right w:w="0" w:type="dxa"/>
        </w:tblCellMar>
      </w:tblPr>
      <w:tblGrid>
        <w:gridCol w:w="393"/>
        <w:gridCol w:w="454"/>
        <w:gridCol w:w="695"/>
        <w:gridCol w:w="1669"/>
        <w:gridCol w:w="455"/>
        <w:gridCol w:w="430"/>
        <w:gridCol w:w="752"/>
        <w:gridCol w:w="1005"/>
        <w:gridCol w:w="729"/>
        <w:gridCol w:w="477"/>
        <w:gridCol w:w="661"/>
        <w:gridCol w:w="2050"/>
      </w:tblGrid>
      <w:tr>
        <w:tblPrEx>
          <w:shd w:val="clear" w:color="auto" w:fill="auto"/>
          <w:tblLayout w:type="fixed"/>
          <w:tblCellMar>
            <w:top w:w="0" w:type="dxa"/>
            <w:left w:w="0" w:type="dxa"/>
            <w:bottom w:w="0" w:type="dxa"/>
            <w:right w:w="0" w:type="dxa"/>
          </w:tblCellMar>
        </w:tblPrEx>
        <w:trPr>
          <w:trHeight w:val="960" w:hRule="atLeast"/>
        </w:trPr>
        <w:tc>
          <w:tcPr>
            <w:tcW w:w="977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项目支出绩效自评表</w:t>
            </w:r>
            <w:r>
              <w:rPr>
                <w:rFonts w:hint="eastAsia" w:ascii="宋体" w:hAnsi="宋体" w:eastAsia="宋体" w:cs="宋体"/>
                <w:b/>
                <w:i w:val="0"/>
                <w:color w:val="000000"/>
                <w:kern w:val="0"/>
                <w:sz w:val="40"/>
                <w:szCs w:val="40"/>
                <w:u w:val="none"/>
                <w:lang w:val="en-US" w:eastAsia="zh-CN" w:bidi="ar"/>
              </w:rPr>
              <w:br w:type="textWrapping"/>
            </w:r>
            <w:r>
              <w:rPr>
                <w:rFonts w:hint="eastAsia" w:ascii="宋体" w:hAnsi="宋体" w:eastAsia="宋体" w:cs="宋体"/>
                <w:b/>
                <w:i w:val="0"/>
                <w:color w:val="000000"/>
                <w:kern w:val="0"/>
                <w:sz w:val="40"/>
                <w:szCs w:val="40"/>
                <w:u w:val="none"/>
                <w:lang w:val="en-US" w:eastAsia="zh-CN" w:bidi="ar"/>
              </w:rPr>
              <w:t>(2023年度）</w:t>
            </w:r>
          </w:p>
        </w:tc>
      </w:tr>
      <w:tr>
        <w:tblPrEx>
          <w:tblLayout w:type="fixed"/>
          <w:tblCellMar>
            <w:top w:w="0" w:type="dxa"/>
            <w:left w:w="0" w:type="dxa"/>
            <w:bottom w:w="0" w:type="dxa"/>
            <w:right w:w="0" w:type="dxa"/>
          </w:tblCellMar>
        </w:tblPrEx>
        <w:trPr>
          <w:trHeight w:val="380" w:hRule="atLeast"/>
        </w:trPr>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92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廉政教育中心运转经费</w:t>
            </w:r>
          </w:p>
        </w:tc>
      </w:tr>
      <w:tr>
        <w:tblPrEx>
          <w:shd w:val="clear" w:color="auto" w:fill="auto"/>
          <w:tblLayout w:type="fixed"/>
          <w:tblCellMar>
            <w:top w:w="0" w:type="dxa"/>
            <w:left w:w="0" w:type="dxa"/>
            <w:bottom w:w="0" w:type="dxa"/>
            <w:right w:w="0" w:type="dxa"/>
          </w:tblCellMar>
        </w:tblPrEx>
        <w:trPr>
          <w:trHeight w:val="380" w:hRule="atLeast"/>
        </w:trPr>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2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中共乌海市纪律检查委员会（部门）</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9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中共乌海市纪律检查委员会</w:t>
            </w:r>
          </w:p>
        </w:tc>
      </w:tr>
      <w:tr>
        <w:tblPrEx>
          <w:tblLayout w:type="fixed"/>
          <w:tblCellMar>
            <w:top w:w="0" w:type="dxa"/>
            <w:left w:w="0" w:type="dxa"/>
            <w:bottom w:w="0" w:type="dxa"/>
            <w:right w:w="0" w:type="dxa"/>
          </w:tblCellMar>
        </w:tblPrEx>
        <w:trPr>
          <w:trHeight w:val="380" w:hRule="atLeast"/>
        </w:trPr>
        <w:tc>
          <w:tcPr>
            <w:tcW w:w="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（万元）</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Layout w:type="fixed"/>
          <w:tblCellMar>
            <w:top w:w="0" w:type="dxa"/>
            <w:left w:w="0" w:type="dxa"/>
            <w:bottom w:w="0" w:type="dxa"/>
            <w:right w:w="0" w:type="dxa"/>
          </w:tblCellMar>
        </w:tblPrEx>
        <w:trPr>
          <w:trHeight w:val="380" w:hRule="atLeast"/>
        </w:trPr>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206.21</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85.92</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w:t>
            </w:r>
          </w:p>
        </w:tc>
      </w:tr>
      <w:tr>
        <w:tblPrEx>
          <w:shd w:val="clear" w:color="auto" w:fill="auto"/>
          <w:tblLayout w:type="fixed"/>
          <w:tblCellMar>
            <w:top w:w="0" w:type="dxa"/>
            <w:left w:w="0" w:type="dxa"/>
            <w:bottom w:w="0" w:type="dxa"/>
            <w:right w:w="0" w:type="dxa"/>
          </w:tblCellMar>
        </w:tblPrEx>
        <w:trPr>
          <w:trHeight w:val="380" w:hRule="atLeast"/>
        </w:trPr>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206.21</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85.92</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shd w:val="clear" w:color="auto" w:fill="auto"/>
          <w:tblLayout w:type="fixed"/>
          <w:tblCellMar>
            <w:top w:w="0" w:type="dxa"/>
            <w:left w:w="0" w:type="dxa"/>
            <w:bottom w:w="0" w:type="dxa"/>
            <w:right w:w="0" w:type="dxa"/>
          </w:tblCellMar>
        </w:tblPrEx>
        <w:trPr>
          <w:trHeight w:val="380" w:hRule="atLeast"/>
        </w:trPr>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7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c>
          <w:tcPr>
            <w:tcW w:w="11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222222"/>
                <w:sz w:val="19"/>
                <w:szCs w:val="19"/>
                <w:u w:val="none"/>
              </w:rPr>
            </w:pPr>
            <w:r>
              <w:rPr>
                <w:rFonts w:hint="default" w:ascii="Arial" w:hAnsi="Arial" w:eastAsia="宋体" w:cs="Arial"/>
                <w:i w:val="0"/>
                <w:color w:val="222222"/>
                <w:kern w:val="0"/>
                <w:sz w:val="19"/>
                <w:szCs w:val="19"/>
                <w:u w:val="none"/>
                <w:lang w:val="en-US" w:eastAsia="zh-CN" w:bidi="ar"/>
              </w:rPr>
              <w:t>——</w:t>
            </w:r>
          </w:p>
        </w:tc>
      </w:tr>
      <w:tr>
        <w:tblPrEx>
          <w:tblLayout w:type="fixed"/>
          <w:tblCellMar>
            <w:top w:w="0" w:type="dxa"/>
            <w:left w:w="0" w:type="dxa"/>
            <w:bottom w:w="0" w:type="dxa"/>
            <w:right w:w="0" w:type="dxa"/>
          </w:tblCellMar>
        </w:tblPrEx>
        <w:trPr>
          <w:trHeight w:val="380" w:hRule="atLeast"/>
        </w:trPr>
        <w:tc>
          <w:tcPr>
            <w:tcW w:w="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0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shd w:val="clear" w:color="auto" w:fill="auto"/>
          <w:tblLayout w:type="fixed"/>
          <w:tblCellMar>
            <w:top w:w="0" w:type="dxa"/>
            <w:left w:w="0" w:type="dxa"/>
            <w:bottom w:w="0" w:type="dxa"/>
            <w:right w:w="0" w:type="dxa"/>
          </w:tblCellMar>
        </w:tblPrEx>
        <w:trPr>
          <w:trHeight w:val="1120" w:hRule="atLeast"/>
        </w:trPr>
        <w:tc>
          <w:tcPr>
            <w:tcW w:w="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0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目标1：通过及时的缴纳留置场所的物业费和取暖费，能够保障留置场所的正常工作。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目标2：通过购买留置场所工作人员所需办公用品，能够保证工作顺利开展。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目标3：通过对留置工作人员的夜餐补助，能够保障留置场所工作人员的生活保障。</w:t>
            </w:r>
          </w:p>
        </w:tc>
        <w:tc>
          <w:tcPr>
            <w:tcW w:w="492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已足额缴纳廉政教育中心物业费、大楼维修费及水电费的支出，保障了廉政教育中心工作人员能够有一个环境优美的工作环境；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已足额保障廉政教育中心工作人员日常办公用品及设备采购支出费用，使廉政教育中心的工作顺利开展。</w:t>
            </w:r>
          </w:p>
        </w:tc>
      </w:tr>
      <w:tr>
        <w:tblPrEx>
          <w:tblLayout w:type="fixed"/>
          <w:tblCellMar>
            <w:top w:w="0" w:type="dxa"/>
            <w:left w:w="0" w:type="dxa"/>
            <w:bottom w:w="0" w:type="dxa"/>
            <w:right w:w="0" w:type="dxa"/>
          </w:tblCellMar>
        </w:tblPrEx>
        <w:trPr>
          <w:trHeight w:val="380" w:hRule="atLeast"/>
        </w:trPr>
        <w:tc>
          <w:tcPr>
            <w:tcW w:w="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指标方向</w:t>
            </w:r>
          </w:p>
        </w:tc>
        <w:tc>
          <w:tcPr>
            <w:tcW w:w="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计量单位</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Layout w:type="fixed"/>
          <w:tblCellMar>
            <w:top w:w="0" w:type="dxa"/>
            <w:left w:w="0" w:type="dxa"/>
            <w:bottom w:w="0" w:type="dxa"/>
            <w:right w:w="0" w:type="dxa"/>
          </w:tblCellMar>
        </w:tblPrEx>
        <w:trPr>
          <w:trHeight w:val="840" w:hRule="atLeast"/>
        </w:trPr>
        <w:tc>
          <w:tcPr>
            <w:tcW w:w="39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45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物业服务面积</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取暖面积</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28071.8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28071.8</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水电费缴纳月份</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场所维修次数</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办公人员领用办公耗材月份</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办公设施有效使用率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水电暖等缴纳保障率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物业服务完成率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缴纳物业费及时率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日常工作购置办公设备验收及时率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水电暖费到位及时率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廉政教育中心办公楼内物品维修及时率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物业费缴纳成本</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34.82</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46.43</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水电费</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93.44</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取暖费预算由年初预算的取暖费支出</w:t>
            </w: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办公用品及办公设备购置</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65.18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56.77</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留置场所维修费</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9.57</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物业服务促进社会就业率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影响</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维修改造设施的安全性和合格率，保障人身安全</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保障留置场所正常运转</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有效保障</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办公楼维修维护是否改善提升了员工办公环境；</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改善日常办公效率</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有效改善</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69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办公人员对大楼运行及设备运转的满意度</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840" w:hRule="atLeast"/>
        </w:trPr>
        <w:tc>
          <w:tcPr>
            <w:tcW w:w="39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4"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使用办公家具及设备的人员满意度</w:t>
            </w:r>
          </w:p>
        </w:tc>
        <w:tc>
          <w:tcPr>
            <w:tcW w:w="4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w:t>
            </w:r>
          </w:p>
        </w:tc>
        <w:tc>
          <w:tcPr>
            <w:tcW w:w="4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大于等于</w:t>
            </w:r>
          </w:p>
        </w:tc>
        <w:tc>
          <w:tcPr>
            <w:tcW w:w="7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72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840" w:hRule="atLeast"/>
        </w:trPr>
        <w:tc>
          <w:tcPr>
            <w:tcW w:w="6582"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95.99</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方正小标宋简体" w:hAnsi="方正小标宋简体" w:eastAsia="方正小标宋简体" w:cs="方正小标宋简体"/>
          <w:b w:val="0"/>
          <w:bCs w:val="0"/>
          <w:kern w:val="0"/>
          <w:sz w:val="32"/>
          <w:szCs w:val="32"/>
        </w:rPr>
        <w:t>  （三）部门（单位）项目绩效评价结果。</w:t>
      </w:r>
    </w:p>
    <w:p>
      <w:pPr>
        <w:spacing w:beforeLines="0" w:afterLines="0"/>
        <w:ind w:firstLine="640" w:firstLineChars="200"/>
        <w:jc w:val="both"/>
        <w:rPr>
          <w:rFonts w:hint="eastAsia" w:ascii="仿宋_GB2312" w:hAnsi="仿宋_GB2312" w:eastAsia="仿宋_GB2312"/>
          <w:kern w:val="2"/>
          <w:sz w:val="32"/>
        </w:rPr>
      </w:pPr>
      <w:r>
        <w:rPr>
          <w:rFonts w:hint="eastAsia" w:ascii="仿宋_GB2312" w:hAnsi="仿宋_GB2312" w:eastAsia="仿宋_GB2312"/>
          <w:kern w:val="2"/>
          <w:sz w:val="32"/>
        </w:rPr>
        <w:t>以2022年全市争取上级资金先进单位工作经费为例，该项目绩效评价综合得分为</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9.93</w:t>
      </w:r>
      <w:r>
        <w:rPr>
          <w:rFonts w:hint="eastAsia" w:ascii="仿宋_GB2312" w:hAnsi="仿宋_GB2312" w:eastAsia="仿宋_GB2312"/>
          <w:kern w:val="2"/>
          <w:sz w:val="32"/>
        </w:rPr>
        <w:t>分，绩效评价结果为“优”。</w:t>
      </w:r>
    </w:p>
    <w:p>
      <w:pPr>
        <w:spacing w:beforeLines="0" w:afterLines="0"/>
        <w:ind w:firstLine="640" w:firstLineChars="200"/>
        <w:jc w:val="both"/>
        <w:rPr>
          <w:rFonts w:hint="eastAsia" w:ascii="fang_zheng_xiao_biao_song_ti" w:hAnsi="fang_zheng_xiao_biao_song_ti" w:eastAsia="仿宋_GB2312" w:cs="fang_zheng_xiao_biao_song_ti"/>
          <w:kern w:val="0"/>
          <w:sz w:val="36"/>
          <w:szCs w:val="36"/>
          <w:lang w:eastAsia="zh-CN"/>
        </w:rPr>
      </w:pPr>
      <w:r>
        <w:rPr>
          <w:rFonts w:hint="eastAsia" w:ascii="仿宋_GB2312" w:hAnsi="仿宋_GB2312" w:eastAsia="仿宋_GB2312"/>
          <w:kern w:val="2"/>
          <w:sz w:val="32"/>
        </w:rPr>
        <w:t>本单位20</w:t>
      </w:r>
      <w:r>
        <w:rPr>
          <w:rFonts w:hint="eastAsia" w:ascii="仿宋_GB2312" w:hAnsi="仿宋_GB2312" w:eastAsia="仿宋_GB2312"/>
          <w:kern w:val="2"/>
          <w:sz w:val="32"/>
          <w:lang w:val="en-US" w:eastAsia="zh-CN"/>
        </w:rPr>
        <w:t>23</w:t>
      </w:r>
      <w:r>
        <w:rPr>
          <w:rFonts w:hint="eastAsia" w:ascii="仿宋_GB2312" w:hAnsi="仿宋_GB2312" w:eastAsia="仿宋_GB2312"/>
          <w:kern w:val="2"/>
          <w:sz w:val="32"/>
        </w:rPr>
        <w:t>年未开展重点项目绩效评价</w:t>
      </w:r>
      <w:r>
        <w:rPr>
          <w:rFonts w:hint="eastAsia" w:ascii="仿宋_GB2312" w:hAnsi="仿宋_GB2312" w:eastAsia="仿宋_GB2312"/>
          <w:kern w:val="2"/>
          <w:sz w:val="32"/>
          <w:lang w:eastAsia="zh-CN"/>
        </w:rPr>
        <w:t>。</w:t>
      </w:r>
    </w:p>
    <w:p>
      <w:pPr>
        <w:pStyle w:val="6"/>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ascii="fang_song_gb2312" w:hAnsi="fang_song_gb2312" w:eastAsia="fang_song_gb2312" w:cs="fang_song_gb2312"/>
          <w:b/>
          <w:bCs/>
          <w:kern w:val="0"/>
          <w:sz w:val="27"/>
          <w:szCs w:val="27"/>
        </w:rPr>
        <w:t xml:space="preserve">  </w:t>
      </w:r>
      <w:r>
        <w:rPr>
          <w:rFonts w:hint="eastAsia" w:ascii="仿宋_GB2312" w:hAnsi="仿宋_GB2312" w:eastAsia="仿宋_GB2312" w:cs="Times New Roman"/>
          <w:b/>
          <w:bCs/>
          <w:color w:val="000000"/>
          <w:kern w:val="2"/>
          <w:sz w:val="32"/>
          <w:szCs w:val="24"/>
          <w:lang w:val="en-US" w:eastAsia="zh-CN" w:bidi="ar-SA"/>
        </w:rPr>
        <w:t>  一、财政拨款收入：</w:t>
      </w:r>
      <w:r>
        <w:rPr>
          <w:rFonts w:hint="eastAsia" w:ascii="仿宋_GB2312" w:hAnsi="仿宋_GB2312" w:eastAsia="仿宋_GB2312" w:cs="Times New Roman"/>
          <w:b w:val="0"/>
          <w:color w:val="000000"/>
          <w:kern w:val="2"/>
          <w:sz w:val="32"/>
          <w:szCs w:val="24"/>
          <w:lang w:val="en-US" w:eastAsia="zh-CN" w:bidi="ar-SA"/>
        </w:rPr>
        <w:t>从同级财政部门取得的各类财政拨款，包括一般公共预算财政拨款、政府性基金预算财政拨款、国有资本经营预算财政拨款。</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二、上级补助收入：</w:t>
      </w:r>
      <w:r>
        <w:rPr>
          <w:rFonts w:hint="eastAsia" w:ascii="仿宋_GB2312" w:hAnsi="仿宋_GB2312" w:eastAsia="仿宋_GB2312" w:cs="Times New Roman"/>
          <w:b w:val="0"/>
          <w:color w:val="000000"/>
          <w:kern w:val="2"/>
          <w:sz w:val="32"/>
          <w:szCs w:val="24"/>
          <w:lang w:val="en-US" w:eastAsia="zh-CN" w:bidi="ar-SA"/>
        </w:rPr>
        <w:t>指事业单位从主管部门和上级单位取得的非财政补助收入。</w:t>
      </w:r>
    </w:p>
    <w:p>
      <w:pPr>
        <w:widowControl/>
        <w:spacing w:before="240" w:after="240"/>
        <w:jc w:val="left"/>
        <w:rPr>
          <w:rFonts w:ascii="Times New Roman" w:hAnsi="Times New Roman" w:eastAsia="Times New Roman" w:cs="Times New Roman"/>
          <w:kern w:val="0"/>
          <w:sz w:val="24"/>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三、财政专户管理教育收费：</w:t>
      </w:r>
      <w:r>
        <w:rPr>
          <w:rFonts w:hint="eastAsia" w:ascii="仿宋_GB2312" w:hAnsi="仿宋_GB2312" w:eastAsia="仿宋_GB2312" w:cs="Times New Roman"/>
          <w:b w:val="0"/>
          <w:color w:val="000000"/>
          <w:kern w:val="2"/>
          <w:sz w:val="32"/>
          <w:szCs w:val="24"/>
          <w:lang w:val="en-US" w:eastAsia="zh-CN" w:bidi="ar-SA"/>
        </w:rPr>
        <w:t>指缴入财政专户、实行专项管理的高中以上学费、住宿费、高校委托培养费、函大、电大、夜大及短训班培训费等教育收费。</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ascii="fang_song_gb2312" w:hAnsi="fang_song_gb2312" w:eastAsia="fang_song_gb2312" w:cs="fang_song_gb2312"/>
          <w:b/>
          <w:bCs/>
          <w:kern w:val="0"/>
          <w:sz w:val="27"/>
          <w:szCs w:val="27"/>
        </w:rPr>
        <w:t xml:space="preserve">  </w:t>
      </w:r>
      <w:r>
        <w:rPr>
          <w:rFonts w:hint="eastAsia" w:ascii="仿宋_GB2312" w:hAnsi="仿宋_GB2312" w:eastAsia="仿宋_GB2312" w:cs="Times New Roman"/>
          <w:b/>
          <w:bCs/>
          <w:color w:val="000000"/>
          <w:kern w:val="2"/>
          <w:sz w:val="32"/>
          <w:szCs w:val="24"/>
          <w:lang w:val="en-US" w:eastAsia="zh-CN" w:bidi="ar-SA"/>
        </w:rPr>
        <w:t>  四、事业收入：</w:t>
      </w:r>
      <w:r>
        <w:rPr>
          <w:rFonts w:hint="eastAsia" w:ascii="仿宋_GB2312" w:hAnsi="仿宋_GB2312" w:eastAsia="仿宋_GB2312" w:cs="Times New Roman"/>
          <w:b w:val="0"/>
          <w:color w:val="000000"/>
          <w:kern w:val="2"/>
          <w:sz w:val="32"/>
          <w:szCs w:val="24"/>
          <w:lang w:val="en-US" w:eastAsia="zh-CN" w:bidi="ar-SA"/>
        </w:rPr>
        <w:t>指事业单位开展专业业务活动及其辅助活动取得的收入。</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xml:space="preserve">    </w:t>
      </w:r>
      <w:r>
        <w:rPr>
          <w:rFonts w:hint="eastAsia" w:ascii="仿宋_GB2312" w:hAnsi="仿宋_GB2312" w:eastAsia="仿宋_GB2312" w:cs="Times New Roman"/>
          <w:b/>
          <w:bCs/>
          <w:color w:val="000000"/>
          <w:kern w:val="2"/>
          <w:sz w:val="32"/>
          <w:szCs w:val="24"/>
          <w:lang w:val="en-US" w:eastAsia="zh-CN" w:bidi="ar-SA"/>
        </w:rPr>
        <w:t>五、经营收入：</w:t>
      </w:r>
      <w:r>
        <w:rPr>
          <w:rFonts w:hint="eastAsia" w:ascii="仿宋_GB2312" w:hAnsi="仿宋_GB2312" w:eastAsia="仿宋_GB2312" w:cs="Times New Roman"/>
          <w:b w:val="0"/>
          <w:color w:val="000000"/>
          <w:kern w:val="2"/>
          <w:sz w:val="32"/>
          <w:szCs w:val="24"/>
          <w:lang w:val="en-US" w:eastAsia="zh-CN" w:bidi="ar-SA"/>
        </w:rPr>
        <w:t>指事业单位在专业业务活动及其辅助活动之外开展非独立核算经营活动取得的收入。</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六、附属单位上缴收入：</w:t>
      </w:r>
      <w:r>
        <w:rPr>
          <w:rFonts w:hint="eastAsia" w:ascii="仿宋_GB2312" w:hAnsi="仿宋_GB2312" w:eastAsia="仿宋_GB2312" w:cs="Times New Roman"/>
          <w:b w:val="0"/>
          <w:color w:val="000000"/>
          <w:kern w:val="2"/>
          <w:sz w:val="32"/>
          <w:szCs w:val="24"/>
          <w:lang w:val="en-US" w:eastAsia="zh-CN" w:bidi="ar-SA"/>
        </w:rPr>
        <w:t>指事业单位取得附属独立核算单位按照有关规定上缴的收入。</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七、其他收入：</w:t>
      </w:r>
      <w:r>
        <w:rPr>
          <w:rFonts w:hint="eastAsia" w:ascii="仿宋_GB2312" w:hAnsi="仿宋_GB2312" w:eastAsia="仿宋_GB2312" w:cs="Times New Roman"/>
          <w:b w:val="0"/>
          <w:color w:val="000000"/>
          <w:kern w:val="2"/>
          <w:sz w:val="32"/>
          <w:szCs w:val="24"/>
          <w:lang w:val="en-US" w:eastAsia="zh-CN" w:bidi="ar-SA"/>
        </w:rPr>
        <w:t>取得的除上述“财政拨款收入”、“上级补助收入”、“事业收入”、“经营收入”、“附属单位上缴收入”等以外的各项收入。</w:t>
      </w:r>
    </w:p>
    <w:p>
      <w:pPr>
        <w:widowControl/>
        <w:spacing w:before="240" w:after="240"/>
        <w:jc w:val="left"/>
        <w:rPr>
          <w:rFonts w:ascii="Times New Roman" w:hAnsi="Times New Roman" w:eastAsia="Times New Roman" w:cs="Times New Roman"/>
          <w:kern w:val="0"/>
          <w:sz w:val="24"/>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八、使用非财政拨款结余和专用结余：</w:t>
      </w:r>
      <w:r>
        <w:rPr>
          <w:rFonts w:hint="eastAsia" w:ascii="仿宋_GB2312" w:hAnsi="仿宋_GB2312" w:eastAsia="仿宋_GB2312" w:cs="Times New Roman"/>
          <w:b w:val="0"/>
          <w:color w:val="000000"/>
          <w:kern w:val="2"/>
          <w:sz w:val="32"/>
          <w:szCs w:val="24"/>
          <w:lang w:val="en-US" w:eastAsia="zh-CN" w:bidi="ar-SA"/>
        </w:rPr>
        <w:t>指事业单位按照预算管理要求使用非财政拨款结余和专用结余弥补当年收支差额的数额。</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ascii="fang_song_gb2312" w:hAnsi="fang_song_gb2312" w:eastAsia="fang_song_gb2312" w:cs="fang_song_gb2312"/>
          <w:b/>
          <w:bCs/>
          <w:kern w:val="0"/>
          <w:sz w:val="27"/>
          <w:szCs w:val="27"/>
        </w:rPr>
        <w:t xml:space="preserve">  </w:t>
      </w: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九、年初结转和结余：</w:t>
      </w:r>
      <w:r>
        <w:rPr>
          <w:rFonts w:hint="eastAsia" w:ascii="仿宋_GB2312" w:hAnsi="仿宋_GB2312" w:eastAsia="仿宋_GB2312" w:cs="Times New Roman"/>
          <w:b w:val="0"/>
          <w:color w:val="000000"/>
          <w:kern w:val="2"/>
          <w:sz w:val="32"/>
          <w:szCs w:val="24"/>
          <w:lang w:val="en-US" w:eastAsia="zh-CN" w:bidi="ar-SA"/>
        </w:rPr>
        <w:t>指单位上年结转本年使用的基本支出结转、项目支出结转和结余、经营结余。</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十、结余分配：</w:t>
      </w:r>
      <w:r>
        <w:rPr>
          <w:rFonts w:hint="eastAsia" w:ascii="仿宋_GB2312" w:hAnsi="仿宋_GB2312" w:eastAsia="仿宋_GB2312" w:cs="Times New Roman"/>
          <w:b w:val="0"/>
          <w:color w:val="000000"/>
          <w:kern w:val="2"/>
          <w:sz w:val="32"/>
          <w:szCs w:val="24"/>
          <w:lang w:val="en-US" w:eastAsia="zh-CN" w:bidi="ar-SA"/>
        </w:rPr>
        <w:t>指事业单位按规定缴纳企业所得税以及从非财政拨款结余或经营结余中提取各类结余的情况。</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十一、年末结转和结余资金：</w:t>
      </w:r>
      <w:r>
        <w:rPr>
          <w:rFonts w:hint="eastAsia" w:ascii="仿宋_GB2312" w:hAnsi="仿宋_GB2312" w:eastAsia="仿宋_GB2312" w:cs="Times New Roman"/>
          <w:b w:val="0"/>
          <w:color w:val="000000"/>
          <w:kern w:val="2"/>
          <w:sz w:val="32"/>
          <w:szCs w:val="24"/>
          <w:lang w:val="en-US" w:eastAsia="zh-CN" w:bidi="ar-SA"/>
        </w:rPr>
        <w:t>指单位结转下年的基本支出结转、项目支出结转和结余、经营结余。</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xml:space="preserve">    </w:t>
      </w:r>
      <w:r>
        <w:rPr>
          <w:rFonts w:hint="eastAsia" w:ascii="仿宋_GB2312" w:hAnsi="仿宋_GB2312" w:eastAsia="仿宋_GB2312" w:cs="Times New Roman"/>
          <w:b/>
          <w:bCs/>
          <w:color w:val="000000"/>
          <w:kern w:val="2"/>
          <w:sz w:val="32"/>
          <w:szCs w:val="24"/>
          <w:lang w:val="en-US" w:eastAsia="zh-CN" w:bidi="ar-SA"/>
        </w:rPr>
        <w:t>十二、基本支出：</w:t>
      </w:r>
      <w:r>
        <w:rPr>
          <w:rFonts w:hint="eastAsia" w:ascii="仿宋_GB2312" w:hAnsi="仿宋_GB2312" w:eastAsia="仿宋_GB2312" w:cs="Times New Roman"/>
          <w:b w:val="0"/>
          <w:color w:val="000000"/>
          <w:kern w:val="2"/>
          <w:sz w:val="32"/>
          <w:szCs w:val="24"/>
          <w:lang w:val="en-US" w:eastAsia="zh-CN" w:bidi="ar-SA"/>
        </w:rPr>
        <w:t>指为保障机构正常运转、完成日常工作任务所发生的支出，包括人员经费和公用经费。</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十三、项目支出：</w:t>
      </w:r>
      <w:r>
        <w:rPr>
          <w:rFonts w:hint="eastAsia" w:ascii="仿宋_GB2312" w:hAnsi="仿宋_GB2312" w:eastAsia="仿宋_GB2312" w:cs="Times New Roman"/>
          <w:b w:val="0"/>
          <w:color w:val="000000"/>
          <w:kern w:val="2"/>
          <w:sz w:val="32"/>
          <w:szCs w:val="24"/>
          <w:lang w:val="en-US" w:eastAsia="zh-CN" w:bidi="ar-SA"/>
        </w:rPr>
        <w:t>指在为完成特定的工作任务和事业发展目标所发生的支出。</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xml:space="preserve">  </w:t>
      </w:r>
      <w:r>
        <w:rPr>
          <w:rFonts w:hint="eastAsia" w:ascii="仿宋_GB2312" w:hAnsi="仿宋_GB2312" w:eastAsia="仿宋_GB2312" w:cs="Times New Roman"/>
          <w:b/>
          <w:bCs/>
          <w:color w:val="000000"/>
          <w:kern w:val="2"/>
          <w:sz w:val="32"/>
          <w:szCs w:val="24"/>
          <w:lang w:val="en-US" w:eastAsia="zh-CN" w:bidi="ar-SA"/>
        </w:rPr>
        <w:t>  十四、上缴上级支出：</w:t>
      </w:r>
      <w:r>
        <w:rPr>
          <w:rFonts w:hint="eastAsia" w:ascii="仿宋_GB2312" w:hAnsi="仿宋_GB2312" w:eastAsia="仿宋_GB2312" w:cs="Times New Roman"/>
          <w:b w:val="0"/>
          <w:color w:val="000000"/>
          <w:kern w:val="2"/>
          <w:sz w:val="32"/>
          <w:szCs w:val="24"/>
          <w:lang w:val="en-US" w:eastAsia="zh-CN" w:bidi="ar-SA"/>
        </w:rPr>
        <w:t>指事业单位按照财政部门和主管部门的规定上缴上级单位的支出。</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十五、经营支出：</w:t>
      </w:r>
      <w:r>
        <w:rPr>
          <w:rFonts w:hint="eastAsia" w:ascii="仿宋_GB2312" w:hAnsi="仿宋_GB2312" w:eastAsia="仿宋_GB2312" w:cs="Times New Roman"/>
          <w:b w:val="0"/>
          <w:color w:val="000000"/>
          <w:kern w:val="2"/>
          <w:sz w:val="32"/>
          <w:szCs w:val="24"/>
          <w:lang w:val="en-US" w:eastAsia="zh-CN" w:bidi="ar-SA"/>
        </w:rPr>
        <w:t>指事业单位在专业业务活动及其辅助活动之外开展非独立核算经营活动发生的支出。</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w:t>
      </w:r>
      <w:r>
        <w:rPr>
          <w:rFonts w:hint="eastAsia" w:ascii="仿宋_GB2312" w:hAnsi="仿宋_GB2312" w:eastAsia="仿宋_GB2312" w:cs="Times New Roman"/>
          <w:b/>
          <w:bCs/>
          <w:color w:val="000000"/>
          <w:kern w:val="2"/>
          <w:sz w:val="32"/>
          <w:szCs w:val="24"/>
          <w:lang w:val="en-US" w:eastAsia="zh-CN" w:bidi="ar-SA"/>
        </w:rPr>
        <w:t xml:space="preserve"> 十六、对附属单位补助支出：</w:t>
      </w:r>
      <w:r>
        <w:rPr>
          <w:rFonts w:hint="eastAsia" w:ascii="仿宋_GB2312" w:hAnsi="仿宋_GB2312" w:eastAsia="仿宋_GB2312" w:cs="Times New Roman"/>
          <w:b w:val="0"/>
          <w:color w:val="000000"/>
          <w:kern w:val="2"/>
          <w:sz w:val="32"/>
          <w:szCs w:val="24"/>
          <w:lang w:val="en-US" w:eastAsia="zh-CN" w:bidi="ar-SA"/>
        </w:rPr>
        <w:t>指事业单位用财政拨款收入之外的收入对附属单位补助发生的支出。</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xml:space="preserve">  </w:t>
      </w:r>
      <w:r>
        <w:rPr>
          <w:rFonts w:hint="eastAsia" w:ascii="仿宋_GB2312" w:hAnsi="仿宋_GB2312" w:eastAsia="仿宋_GB2312" w:cs="Times New Roman"/>
          <w:b/>
          <w:bCs/>
          <w:color w:val="000000"/>
          <w:kern w:val="2"/>
          <w:sz w:val="32"/>
          <w:szCs w:val="24"/>
          <w:lang w:val="en-US" w:eastAsia="zh-CN" w:bidi="ar-SA"/>
        </w:rPr>
        <w:t>  十七、“三公”经费：</w:t>
      </w:r>
      <w:r>
        <w:rPr>
          <w:rFonts w:hint="eastAsia" w:ascii="仿宋_GB2312" w:hAnsi="仿宋_GB2312" w:eastAsia="仿宋_GB2312" w:cs="Times New Roman"/>
          <w:b w:val="0"/>
          <w:color w:val="000000"/>
          <w:kern w:val="2"/>
          <w:sz w:val="32"/>
          <w:szCs w:val="24"/>
          <w:lang w:val="en-US" w:eastAsia="zh-CN" w:bidi="ar-SA"/>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pPr>
        <w:widowControl/>
        <w:spacing w:before="240" w:after="240"/>
        <w:jc w:val="left"/>
        <w:rPr>
          <w:rFonts w:ascii="Times New Roman" w:hAnsi="Times New Roman" w:eastAsia="Times New Roman" w:cs="Times New Roman"/>
          <w:kern w:val="0"/>
          <w:sz w:val="24"/>
        </w:rPr>
      </w:pPr>
      <w:r>
        <w:rPr>
          <w:rFonts w:hint="eastAsia" w:ascii="仿宋_GB2312" w:hAnsi="仿宋_GB2312" w:eastAsia="仿宋_GB2312" w:cs="Times New Roman"/>
          <w:b w:val="0"/>
          <w:color w:val="000000"/>
          <w:kern w:val="2"/>
          <w:sz w:val="32"/>
          <w:szCs w:val="24"/>
          <w:lang w:val="en-US" w:eastAsia="zh-CN" w:bidi="ar-SA"/>
        </w:rPr>
        <w:t xml:space="preserve">  </w:t>
      </w:r>
      <w:r>
        <w:rPr>
          <w:rFonts w:hint="eastAsia" w:ascii="仿宋_GB2312" w:hAnsi="仿宋_GB2312" w:eastAsia="仿宋_GB2312" w:cs="Times New Roman"/>
          <w:b/>
          <w:bCs/>
          <w:color w:val="000000"/>
          <w:kern w:val="2"/>
          <w:sz w:val="32"/>
          <w:szCs w:val="24"/>
          <w:lang w:val="en-US" w:eastAsia="zh-CN" w:bidi="ar-SA"/>
        </w:rPr>
        <w:t>  十八、机构运行经费：</w:t>
      </w:r>
      <w:r>
        <w:rPr>
          <w:rFonts w:hint="eastAsia" w:ascii="仿宋_GB2312" w:hAnsi="仿宋_GB2312" w:eastAsia="仿宋_GB2312" w:cs="Times New Roman"/>
          <w:b w:val="0"/>
          <w:color w:val="000000"/>
          <w:kern w:val="2"/>
          <w:sz w:val="32"/>
          <w:szCs w:val="24"/>
          <w:lang w:val="en-US" w:eastAsia="zh-CN" w:bidi="ar-SA"/>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6"/>
        <w:keepNext w:val="0"/>
        <w:keepLines w:val="0"/>
        <w:widowControl/>
        <w:spacing w:before="299" w:after="299" w:line="240" w:lineRule="auto"/>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kern w:val="0"/>
          <w:sz w:val="36"/>
          <w:szCs w:val="36"/>
        </w:rPr>
        <w:t xml:space="preserve">第四部分 </w:t>
      </w:r>
      <w:r>
        <w:rPr>
          <w:rFonts w:hint="eastAsia" w:ascii="fang_zheng_xiao_biao_song_ti" w:hAnsi="fang_zheng_xiao_biao_song_ti" w:eastAsia="宋体" w:cs="fang_zheng_xiao_biao_song_ti"/>
          <w:kern w:val="0"/>
          <w:sz w:val="36"/>
          <w:szCs w:val="36"/>
          <w:lang w:val="en-US" w:eastAsia="zh-CN"/>
        </w:rPr>
        <w:t>中共乌海市纪律检查委员会</w:t>
      </w:r>
      <w:r>
        <w:rPr>
          <w:rFonts w:ascii="fang_zheng_xiao_biao_song_ti" w:hAnsi="fang_zheng_xiao_biao_song_ti" w:eastAsia="fang_zheng_xiao_biao_song_ti" w:cs="fang_zheng_xiao_biao_song_ti"/>
          <w:kern w:val="0"/>
          <w:sz w:val="36"/>
          <w:szCs w:val="36"/>
        </w:rPr>
        <w:t>决算公开联系方式及信息反馈渠道</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ascii="fang_song_gb2312" w:hAnsi="fang_song_gb2312" w:eastAsia="fang_song_gb2312" w:cs="fang_song_gb2312"/>
          <w:kern w:val="0"/>
          <w:sz w:val="27"/>
          <w:szCs w:val="27"/>
        </w:rPr>
        <w:t xml:space="preserve">    </w:t>
      </w:r>
      <w:r>
        <w:rPr>
          <w:rFonts w:hint="eastAsia" w:ascii="仿宋_GB2312" w:hAnsi="仿宋_GB2312" w:eastAsia="仿宋_GB2312" w:cs="Times New Roman"/>
          <w:b w:val="0"/>
          <w:color w:val="000000"/>
          <w:kern w:val="2"/>
          <w:sz w:val="32"/>
          <w:szCs w:val="24"/>
          <w:lang w:val="en-US" w:eastAsia="zh-CN" w:bidi="ar-SA"/>
        </w:rPr>
        <w:t>本单位决算公开信息反馈和联系方式：</w:t>
      </w:r>
    </w:p>
    <w:p>
      <w:pPr>
        <w:widowControl/>
        <w:spacing w:before="240" w:after="240"/>
        <w:jc w:val="left"/>
        <w:rPr>
          <w:rFonts w:hint="eastAsia" w:ascii="仿宋_GB2312" w:hAnsi="仿宋_GB2312" w:eastAsia="仿宋_GB2312" w:cs="Times New Roman"/>
          <w:b w:val="0"/>
          <w:color w:val="000000"/>
          <w:kern w:val="2"/>
          <w:sz w:val="32"/>
          <w:szCs w:val="24"/>
          <w:lang w:val="en-US" w:eastAsia="zh-CN" w:bidi="ar-SA"/>
        </w:rPr>
      </w:pPr>
      <w:r>
        <w:rPr>
          <w:rFonts w:hint="eastAsia" w:ascii="仿宋_GB2312" w:hAnsi="仿宋_GB2312" w:eastAsia="仿宋_GB2312" w:cs="Times New Roman"/>
          <w:b w:val="0"/>
          <w:color w:val="000000"/>
          <w:kern w:val="2"/>
          <w:sz w:val="32"/>
          <w:szCs w:val="24"/>
          <w:lang w:val="en-US" w:eastAsia="zh-CN" w:bidi="ar-SA"/>
        </w:rPr>
        <w:t>    联系人：吴启迪           联系电话：0473-2999522</w:t>
      </w: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left"/>
        <w:rPr>
          <w:rFonts w:ascii="Times New Roman" w:hAnsi="Times New Roman" w:eastAsia="Times New Roman" w:cs="Times New Roman"/>
          <w:kern w:val="0"/>
          <w:sz w:val="24"/>
        </w:rPr>
      </w:pPr>
    </w:p>
    <w:bookmarkEnd w:id="0"/>
    <w:p>
      <w:pPr>
        <w:tabs>
          <w:tab w:val="left" w:pos="8415"/>
        </w:tabs>
      </w:pPr>
      <w:bookmarkStart w:id="1" w:name="_GoBack"/>
      <w:bookmarkEnd w:id="1"/>
    </w:p>
    <w:sectPr>
      <w:footerReference r:id="rId4" w:type="default"/>
      <w:pgSz w:w="11906" w:h="16838"/>
      <w:pgMar w:top="1134" w:right="1083" w:bottom="1134" w:left="1083" w:header="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23</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766218"/>
    <w:multiLevelType w:val="singleLevel"/>
    <w:tmpl w:val="AB766218"/>
    <w:lvl w:ilvl="0" w:tentative="0">
      <w:start w:val="1"/>
      <w:numFmt w:val="decimal"/>
      <w:lvlText w:val="%1."/>
      <w:lvlJc w:val="left"/>
      <w:pPr>
        <w:tabs>
          <w:tab w:val="left" w:pos="312"/>
        </w:tabs>
      </w:pPr>
    </w:lvl>
  </w:abstractNum>
  <w:abstractNum w:abstractNumId="1">
    <w:nsid w:val="3AAA0468"/>
    <w:multiLevelType w:val="singleLevel"/>
    <w:tmpl w:val="3AAA0468"/>
    <w:lvl w:ilvl="0" w:tentative="0">
      <w:start w:val="5"/>
      <w:numFmt w:val="chineseCounting"/>
      <w:suff w:val="nothing"/>
      <w:lvlText w:val="%1、"/>
      <w:lvlJc w:val="left"/>
      <w:pPr>
        <w:ind w:left="445" w:leftChars="0" w:firstLine="0" w:firstLineChars="0"/>
      </w:pPr>
      <w:rPr>
        <w:rFonts w:hint="eastAsia"/>
      </w:rPr>
    </w:lvl>
  </w:abstractNum>
  <w:abstractNum w:abstractNumId="2">
    <w:nsid w:val="3D1291F8"/>
    <w:multiLevelType w:val="singleLevel"/>
    <w:tmpl w:val="3D1291F8"/>
    <w:lvl w:ilvl="0" w:tentative="0">
      <w:start w:val="1"/>
      <w:numFmt w:val="decimal"/>
      <w:suff w:val="nothing"/>
      <w:lvlText w:val="%1．"/>
      <w:lvlJc w:val="left"/>
    </w:lvl>
  </w:abstractNum>
  <w:abstractNum w:abstractNumId="3">
    <w:nsid w:val="4AB5F67D"/>
    <w:multiLevelType w:val="singleLevel"/>
    <w:tmpl w:val="4AB5F67D"/>
    <w:lvl w:ilvl="0" w:tentative="0">
      <w:start w:val="2"/>
      <w:numFmt w:val="chineseCounting"/>
      <w:suff w:val="nothing"/>
      <w:lvlText w:val="（%1）"/>
      <w:lvlJc w:val="left"/>
      <w:pPr>
        <w:ind w:left="499" w:leftChars="0" w:firstLine="0" w:firstLineChars="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A310B"/>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602548F"/>
    <w:rsid w:val="08FE532A"/>
    <w:rsid w:val="0B8F0D0E"/>
    <w:rsid w:val="0CFF766B"/>
    <w:rsid w:val="0D307FF1"/>
    <w:rsid w:val="0EFE746F"/>
    <w:rsid w:val="15170930"/>
    <w:rsid w:val="1C7D2752"/>
    <w:rsid w:val="1DFA0FC0"/>
    <w:rsid w:val="1FFE40F2"/>
    <w:rsid w:val="20854D62"/>
    <w:rsid w:val="29287A5A"/>
    <w:rsid w:val="2D696FF6"/>
    <w:rsid w:val="32326C4A"/>
    <w:rsid w:val="3A892A57"/>
    <w:rsid w:val="3C0B3BBD"/>
    <w:rsid w:val="40346E6F"/>
    <w:rsid w:val="428075B5"/>
    <w:rsid w:val="47E723AA"/>
    <w:rsid w:val="52591BE9"/>
    <w:rsid w:val="54366DEC"/>
    <w:rsid w:val="56897BAE"/>
    <w:rsid w:val="5D46091C"/>
    <w:rsid w:val="64040100"/>
    <w:rsid w:val="77FA7213"/>
    <w:rsid w:val="7A11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31"/>
    <w:qFormat/>
    <w:uiPriority w:val="0"/>
    <w:pPr>
      <w:keepNext/>
      <w:keepLines/>
      <w:spacing w:before="260" w:after="260" w:line="416" w:lineRule="auto"/>
      <w:outlineLvl w:val="2"/>
    </w:pPr>
    <w:rPr>
      <w:b/>
      <w:bCs/>
      <w:sz w:val="32"/>
      <w:szCs w:val="32"/>
    </w:rPr>
  </w:style>
  <w:style w:type="paragraph" w:styleId="8">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3"/>
    <w:unhideWhenUsed/>
    <w:qFormat/>
    <w:uiPriority w:val="10"/>
    <w:pPr>
      <w:ind w:left="640" w:leftChars="200"/>
      <w:outlineLvl w:val="0"/>
    </w:pPr>
    <w:rPr>
      <w:rFonts w:hint="eastAsia" w:ascii="Arial" w:hAnsi="Arial" w:eastAsia="仿宋_GB2312"/>
      <w:b/>
      <w:sz w:val="32"/>
    </w:rPr>
  </w:style>
  <w:style w:type="paragraph" w:styleId="3">
    <w:name w:val="Body Text Indent"/>
    <w:basedOn w:val="1"/>
    <w:next w:val="4"/>
    <w:unhideWhenUsed/>
    <w:qFormat/>
    <w:uiPriority w:val="99"/>
    <w:pPr>
      <w:ind w:firstLine="707" w:firstLineChars="221"/>
    </w:pPr>
    <w:rPr>
      <w:rFonts w:hint="eastAsia" w:ascii="宋体" w:hAnsi="宋体" w:eastAsia="仿宋_GB2312"/>
      <w:sz w:val="32"/>
    </w:rPr>
  </w:style>
  <w:style w:type="paragraph" w:styleId="4">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9">
    <w:name w:val="toc 7"/>
    <w:basedOn w:val="1"/>
    <w:next w:val="1"/>
    <w:qFormat/>
    <w:uiPriority w:val="0"/>
    <w:pPr>
      <w:ind w:left="1260"/>
      <w:jc w:val="left"/>
    </w:pPr>
    <w:rPr>
      <w:sz w:val="20"/>
      <w:szCs w:val="20"/>
    </w:rPr>
  </w:style>
  <w:style w:type="paragraph" w:styleId="10">
    <w:name w:val="Document Map"/>
    <w:basedOn w:val="1"/>
    <w:qFormat/>
    <w:uiPriority w:val="0"/>
    <w:pPr>
      <w:shd w:val="clear" w:color="auto" w:fill="000080"/>
    </w:p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9"/>
    <w:basedOn w:val="1"/>
    <w:next w:val="1"/>
    <w:qFormat/>
    <w:uiPriority w:val="0"/>
    <w:pPr>
      <w:ind w:left="1680"/>
      <w:jc w:val="left"/>
    </w:pPr>
    <w:rPr>
      <w:sz w:val="20"/>
      <w:szCs w:val="20"/>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character" w:customStyle="1" w:styleId="26">
    <w:name w:val="标题 4 字符"/>
    <w:basedOn w:val="22"/>
    <w:link w:val="8"/>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2"/>
    <w:link w:val="14"/>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2"/>
    <w:link w:val="7"/>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本年基本支出32.94%</c:v>
                </c:pt>
                <c:pt idx="1">
                  <c:v>本年项目支出67.06%</c:v>
                </c:pt>
                <c:pt idx="2">
                  <c:v>本年上缴上级支出0%</c:v>
                </c:pt>
                <c:pt idx="3">
                  <c:v>本年经营支出0%</c:v>
                </c:pt>
                <c:pt idx="4">
                  <c:v>本年对附属单位补助支出0%</c:v>
                </c:pt>
              </c:strCache>
            </c:strRef>
          </c:cat>
          <c:val>
            <c:numRef>
              <c:f>Sheet1!$B$2:$B$6</c:f>
              <c:numCache>
                <c:formatCode>0.00%</c:formatCode>
                <c:ptCount val="5"/>
                <c:pt idx="0">
                  <c:v>0.3294</c:v>
                </c:pt>
                <c:pt idx="1">
                  <c:v>0.6706</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22</Words>
  <Characters>130</Characters>
  <Lines>1</Lines>
  <Paragraphs>1</Paragraphs>
  <TotalTime>1</TotalTime>
  <ScaleCrop>false</ScaleCrop>
  <LinksUpToDate>false</LinksUpToDate>
  <CharactersWithSpaces>151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吴启迪</cp:lastModifiedBy>
  <cp:lastPrinted>2024-10-21T10:29:00Z</cp:lastPrinted>
  <dcterms:modified xsi:type="dcterms:W3CDTF">2024-10-25T03:00:26Z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